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43D29" w14:textId="77777777" w:rsidR="00561476" w:rsidRPr="00397EEA" w:rsidRDefault="00997114" w:rsidP="00561476">
      <w:pPr>
        <w:jc w:val="center"/>
        <w:rPr>
          <w:b/>
          <w:sz w:val="36"/>
          <w:szCs w:val="36"/>
        </w:rPr>
      </w:pPr>
      <w:r>
        <w:rPr>
          <w:b/>
          <w:sz w:val="36"/>
          <w:szCs w:val="36"/>
        </w:rPr>
        <w:pict w14:anchorId="77D9B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379B4C39" w14:textId="77777777" w:rsidR="00561476" w:rsidRPr="00397EEA" w:rsidRDefault="00561476" w:rsidP="00561476">
      <w:pPr>
        <w:jc w:val="center"/>
        <w:rPr>
          <w:b/>
          <w:sz w:val="36"/>
          <w:szCs w:val="36"/>
          <w:lang w:val="en-US"/>
        </w:rPr>
      </w:pPr>
    </w:p>
    <w:p w14:paraId="5BC809FC" w14:textId="77777777" w:rsidR="000A4DD6" w:rsidRPr="00397EEA" w:rsidRDefault="000A4DD6" w:rsidP="00561476">
      <w:pPr>
        <w:jc w:val="center"/>
        <w:rPr>
          <w:b/>
          <w:sz w:val="36"/>
          <w:szCs w:val="36"/>
          <w:lang w:val="en-US"/>
        </w:rPr>
      </w:pPr>
    </w:p>
    <w:p w14:paraId="2433FC3D" w14:textId="77777777" w:rsidR="000A4DD6" w:rsidRPr="00397EEA" w:rsidRDefault="000A4DD6" w:rsidP="00561476">
      <w:pPr>
        <w:jc w:val="center"/>
        <w:rPr>
          <w:b/>
          <w:sz w:val="36"/>
          <w:szCs w:val="36"/>
          <w:lang w:val="en-US"/>
        </w:rPr>
      </w:pPr>
    </w:p>
    <w:p w14:paraId="79607504" w14:textId="77777777" w:rsidR="000A4DD6" w:rsidRPr="00397EEA" w:rsidRDefault="000A4DD6" w:rsidP="00561476">
      <w:pPr>
        <w:jc w:val="center"/>
        <w:rPr>
          <w:b/>
          <w:sz w:val="36"/>
          <w:szCs w:val="36"/>
          <w:lang w:val="en-US"/>
        </w:rPr>
      </w:pPr>
    </w:p>
    <w:p w14:paraId="047617E3" w14:textId="77777777" w:rsidR="00561476" w:rsidRPr="00397EEA" w:rsidRDefault="00561476" w:rsidP="00561476">
      <w:pPr>
        <w:tabs>
          <w:tab w:val="left" w:pos="5204"/>
        </w:tabs>
        <w:jc w:val="left"/>
        <w:rPr>
          <w:b/>
          <w:sz w:val="36"/>
          <w:szCs w:val="36"/>
        </w:rPr>
      </w:pPr>
      <w:r w:rsidRPr="00397EEA">
        <w:rPr>
          <w:b/>
          <w:sz w:val="36"/>
          <w:szCs w:val="36"/>
        </w:rPr>
        <w:tab/>
      </w:r>
    </w:p>
    <w:p w14:paraId="417F15A3" w14:textId="77777777" w:rsidR="00561476" w:rsidRPr="00397EEA" w:rsidRDefault="00561476" w:rsidP="00561476">
      <w:pPr>
        <w:jc w:val="center"/>
        <w:rPr>
          <w:b/>
          <w:sz w:val="36"/>
          <w:szCs w:val="36"/>
        </w:rPr>
      </w:pPr>
    </w:p>
    <w:p w14:paraId="436DF491" w14:textId="77777777" w:rsidR="00561476" w:rsidRPr="00397EEA" w:rsidRDefault="00CB76D2" w:rsidP="00561476">
      <w:pPr>
        <w:jc w:val="center"/>
        <w:rPr>
          <w:b/>
          <w:sz w:val="48"/>
          <w:szCs w:val="48"/>
        </w:rPr>
      </w:pPr>
      <w:bookmarkStart w:id="0" w:name="_Toc226196784"/>
      <w:bookmarkStart w:id="1" w:name="_Toc226197203"/>
      <w:r w:rsidRPr="00397EEA">
        <w:rPr>
          <w:b/>
          <w:sz w:val="48"/>
          <w:szCs w:val="48"/>
        </w:rPr>
        <w:t>М</w:t>
      </w:r>
      <w:r w:rsidR="00561476" w:rsidRPr="00397EEA">
        <w:rPr>
          <w:b/>
          <w:sz w:val="48"/>
          <w:szCs w:val="48"/>
        </w:rPr>
        <w:t>ониторинг СМИ</w:t>
      </w:r>
      <w:bookmarkEnd w:id="0"/>
      <w:bookmarkEnd w:id="1"/>
      <w:r w:rsidR="00561476" w:rsidRPr="00397EEA">
        <w:rPr>
          <w:b/>
          <w:sz w:val="48"/>
          <w:szCs w:val="48"/>
        </w:rPr>
        <w:t xml:space="preserve"> РФ</w:t>
      </w:r>
    </w:p>
    <w:p w14:paraId="6C4C3D28" w14:textId="77777777" w:rsidR="00561476" w:rsidRPr="00397EEA" w:rsidRDefault="00561476" w:rsidP="00561476">
      <w:pPr>
        <w:jc w:val="center"/>
        <w:rPr>
          <w:b/>
          <w:sz w:val="48"/>
          <w:szCs w:val="48"/>
        </w:rPr>
      </w:pPr>
      <w:bookmarkStart w:id="2" w:name="_Toc226196785"/>
      <w:bookmarkStart w:id="3" w:name="_Toc226197204"/>
      <w:r w:rsidRPr="00397EEA">
        <w:rPr>
          <w:b/>
          <w:sz w:val="48"/>
          <w:szCs w:val="48"/>
        </w:rPr>
        <w:t>по пенсионной тематике</w:t>
      </w:r>
      <w:bookmarkEnd w:id="2"/>
      <w:bookmarkEnd w:id="3"/>
    </w:p>
    <w:p w14:paraId="43D3299B" w14:textId="77777777" w:rsidR="008B6D1B" w:rsidRPr="00397EEA" w:rsidRDefault="008B6D1B" w:rsidP="00C70A20">
      <w:pPr>
        <w:jc w:val="center"/>
        <w:rPr>
          <w:b/>
          <w:sz w:val="48"/>
          <w:szCs w:val="48"/>
        </w:rPr>
      </w:pPr>
    </w:p>
    <w:p w14:paraId="16F005BD" w14:textId="77777777" w:rsidR="007D6FE5" w:rsidRPr="00397EEA" w:rsidRDefault="007D6FE5" w:rsidP="00C70A20">
      <w:pPr>
        <w:jc w:val="center"/>
        <w:rPr>
          <w:b/>
          <w:sz w:val="36"/>
          <w:szCs w:val="36"/>
        </w:rPr>
      </w:pPr>
      <w:r w:rsidRPr="00397EEA">
        <w:rPr>
          <w:b/>
          <w:sz w:val="36"/>
          <w:szCs w:val="36"/>
        </w:rPr>
        <w:t xml:space="preserve"> </w:t>
      </w:r>
    </w:p>
    <w:p w14:paraId="1118E2C1" w14:textId="77777777" w:rsidR="00C70A20" w:rsidRPr="00397EEA" w:rsidRDefault="00F0656D" w:rsidP="00C70A20">
      <w:pPr>
        <w:jc w:val="center"/>
        <w:rPr>
          <w:b/>
          <w:sz w:val="40"/>
          <w:szCs w:val="40"/>
        </w:rPr>
      </w:pPr>
      <w:r w:rsidRPr="00397EEA">
        <w:rPr>
          <w:b/>
          <w:sz w:val="40"/>
          <w:szCs w:val="40"/>
          <w:lang w:val="en-US"/>
        </w:rPr>
        <w:t>30</w:t>
      </w:r>
      <w:r w:rsidR="00CB6B64" w:rsidRPr="00397EEA">
        <w:rPr>
          <w:b/>
          <w:sz w:val="40"/>
          <w:szCs w:val="40"/>
        </w:rPr>
        <w:t>.</w:t>
      </w:r>
      <w:r w:rsidR="005E66F0" w:rsidRPr="00397EEA">
        <w:rPr>
          <w:b/>
          <w:sz w:val="40"/>
          <w:szCs w:val="40"/>
        </w:rPr>
        <w:t>0</w:t>
      </w:r>
      <w:r w:rsidR="00985291" w:rsidRPr="00397EEA">
        <w:rPr>
          <w:b/>
          <w:sz w:val="40"/>
          <w:szCs w:val="40"/>
          <w:lang w:val="en-US"/>
        </w:rPr>
        <w:t>8</w:t>
      </w:r>
      <w:r w:rsidR="000214CF" w:rsidRPr="00397EEA">
        <w:rPr>
          <w:b/>
          <w:sz w:val="40"/>
          <w:szCs w:val="40"/>
        </w:rPr>
        <w:t>.</w:t>
      </w:r>
      <w:r w:rsidR="007D6FE5" w:rsidRPr="00397EEA">
        <w:rPr>
          <w:b/>
          <w:sz w:val="40"/>
          <w:szCs w:val="40"/>
        </w:rPr>
        <w:t>20</w:t>
      </w:r>
      <w:r w:rsidR="00EB57E7" w:rsidRPr="00397EEA">
        <w:rPr>
          <w:b/>
          <w:sz w:val="40"/>
          <w:szCs w:val="40"/>
        </w:rPr>
        <w:t>2</w:t>
      </w:r>
      <w:r w:rsidR="005E66F0" w:rsidRPr="00397EEA">
        <w:rPr>
          <w:b/>
          <w:sz w:val="40"/>
          <w:szCs w:val="40"/>
        </w:rPr>
        <w:t>4</w:t>
      </w:r>
      <w:r w:rsidR="00C70A20" w:rsidRPr="00397EEA">
        <w:rPr>
          <w:b/>
          <w:sz w:val="40"/>
          <w:szCs w:val="40"/>
        </w:rPr>
        <w:t xml:space="preserve"> г</w:t>
      </w:r>
      <w:r w:rsidR="007D6FE5" w:rsidRPr="00397EEA">
        <w:rPr>
          <w:b/>
          <w:sz w:val="40"/>
          <w:szCs w:val="40"/>
        </w:rPr>
        <w:t>.</w:t>
      </w:r>
    </w:p>
    <w:p w14:paraId="02BFB758" w14:textId="77777777" w:rsidR="007D6FE5" w:rsidRPr="00397EEA" w:rsidRDefault="007D6FE5" w:rsidP="000C1A46">
      <w:pPr>
        <w:jc w:val="center"/>
        <w:rPr>
          <w:b/>
          <w:sz w:val="40"/>
          <w:szCs w:val="40"/>
        </w:rPr>
      </w:pPr>
    </w:p>
    <w:p w14:paraId="0FE96B69" w14:textId="77777777" w:rsidR="00C16C6D" w:rsidRPr="00397EEA" w:rsidRDefault="00C16C6D" w:rsidP="000C1A46">
      <w:pPr>
        <w:jc w:val="center"/>
        <w:rPr>
          <w:b/>
          <w:sz w:val="40"/>
          <w:szCs w:val="40"/>
        </w:rPr>
      </w:pPr>
    </w:p>
    <w:p w14:paraId="08CA56B8" w14:textId="77777777" w:rsidR="00C70A20" w:rsidRPr="00397EEA" w:rsidRDefault="00C70A20" w:rsidP="000C1A46">
      <w:pPr>
        <w:jc w:val="center"/>
        <w:rPr>
          <w:b/>
          <w:sz w:val="40"/>
          <w:szCs w:val="40"/>
        </w:rPr>
      </w:pPr>
    </w:p>
    <w:p w14:paraId="556D8478" w14:textId="77777777" w:rsidR="00C70A20" w:rsidRPr="00397EEA" w:rsidRDefault="00C70A20" w:rsidP="000C1A46">
      <w:pPr>
        <w:jc w:val="center"/>
      </w:pPr>
    </w:p>
    <w:p w14:paraId="657FCF33" w14:textId="77777777" w:rsidR="00CB76D2" w:rsidRPr="00397EEA" w:rsidRDefault="00CB76D2" w:rsidP="000C1A46">
      <w:pPr>
        <w:jc w:val="center"/>
        <w:rPr>
          <w:b/>
          <w:sz w:val="40"/>
          <w:szCs w:val="40"/>
        </w:rPr>
      </w:pPr>
    </w:p>
    <w:p w14:paraId="733CCF09" w14:textId="77777777" w:rsidR="009D66A1" w:rsidRPr="00397EEA" w:rsidRDefault="009B23FE" w:rsidP="009B23FE">
      <w:pPr>
        <w:pStyle w:val="10"/>
        <w:jc w:val="center"/>
      </w:pPr>
      <w:r w:rsidRPr="00397EEA">
        <w:br w:type="page"/>
      </w:r>
      <w:bookmarkStart w:id="4" w:name="_Toc396864626"/>
      <w:bookmarkStart w:id="5" w:name="_Toc175897196"/>
      <w:r w:rsidR="009D79CC" w:rsidRPr="00397EEA">
        <w:lastRenderedPageBreak/>
        <w:t>Те</w:t>
      </w:r>
      <w:r w:rsidR="009D66A1" w:rsidRPr="00397EEA">
        <w:t>мы</w:t>
      </w:r>
      <w:r w:rsidR="009D66A1" w:rsidRPr="00397EEA">
        <w:rPr>
          <w:rFonts w:ascii="Arial Rounded MT Bold" w:hAnsi="Arial Rounded MT Bold"/>
        </w:rPr>
        <w:t xml:space="preserve"> </w:t>
      </w:r>
      <w:r w:rsidR="009D66A1" w:rsidRPr="00397EEA">
        <w:t>дня</w:t>
      </w:r>
      <w:bookmarkEnd w:id="4"/>
      <w:bookmarkEnd w:id="5"/>
    </w:p>
    <w:p w14:paraId="7EDF819B" w14:textId="77777777" w:rsidR="00A1463C" w:rsidRPr="00397EEA" w:rsidRDefault="00774AFB" w:rsidP="00676D5F">
      <w:pPr>
        <w:numPr>
          <w:ilvl w:val="0"/>
          <w:numId w:val="25"/>
        </w:numPr>
        <w:rPr>
          <w:i/>
        </w:rPr>
      </w:pPr>
      <w:r w:rsidRPr="00397EEA">
        <w:rPr>
          <w:i/>
        </w:rPr>
        <w:t xml:space="preserve">Во втором квартале совокупный объем портфелей негосударственных пенсионных фондов (НПФ) и Социального фонда России (СФР) увеличился до 7,7 трлн рублей, сообщается в </w:t>
      </w:r>
      <w:r w:rsidR="00397EEA">
        <w:rPr>
          <w:i/>
        </w:rPr>
        <w:t>«</w:t>
      </w:r>
      <w:r w:rsidRPr="00397EEA">
        <w:rPr>
          <w:i/>
        </w:rPr>
        <w:t>Обзоре ключевых показателей негосударственных пенсионных фондов</w:t>
      </w:r>
      <w:r w:rsidR="00397EEA">
        <w:rPr>
          <w:i/>
        </w:rPr>
        <w:t>»</w:t>
      </w:r>
      <w:r w:rsidRPr="00397EEA">
        <w:rPr>
          <w:i/>
        </w:rPr>
        <w:t xml:space="preserve"> за второй квартал 2024 года Банка России. Это произошло благодаря ускорению темпов роста пенсионных резервов (ПР) НПФ, которые к концу июня превысили 1,9 трлн рублей. Пенсионные накопления НПФ росли незначительно, их объем составил 3,3 трлн рублей, </w:t>
      </w:r>
      <w:hyperlink w:anchor="a1" w:history="1">
        <w:r w:rsidRPr="00397EEA">
          <w:rPr>
            <w:rStyle w:val="a3"/>
            <w:i/>
          </w:rPr>
          <w:t xml:space="preserve">передает </w:t>
        </w:r>
        <w:r w:rsidR="00397EEA">
          <w:rPr>
            <w:rStyle w:val="a3"/>
            <w:i/>
          </w:rPr>
          <w:t>«</w:t>
        </w:r>
        <w:r w:rsidRPr="00397EEA">
          <w:rPr>
            <w:rStyle w:val="a3"/>
            <w:i/>
          </w:rPr>
          <w:t>Банковское обозрение</w:t>
        </w:r>
        <w:r w:rsidR="00397EEA">
          <w:rPr>
            <w:rStyle w:val="a3"/>
            <w:i/>
          </w:rPr>
          <w:t>»</w:t>
        </w:r>
      </w:hyperlink>
    </w:p>
    <w:p w14:paraId="3379F28D" w14:textId="77777777" w:rsidR="00774AFB" w:rsidRPr="00397EEA" w:rsidRDefault="00774AFB" w:rsidP="00676D5F">
      <w:pPr>
        <w:numPr>
          <w:ilvl w:val="0"/>
          <w:numId w:val="25"/>
        </w:numPr>
        <w:rPr>
          <w:i/>
        </w:rPr>
      </w:pPr>
      <w:r w:rsidRPr="00397EEA">
        <w:rPr>
          <w:i/>
        </w:rPr>
        <w:t xml:space="preserve">Генеральным директором НПФ ВТБ назначен Андрей Осипов, занимавший ранее должность члена правления Почта банка, сообщил ВТБ. До согласования его кандидатуры Банком России он будет временно исполнять обязанности руководителя компании. Максим Филатов, ранее возглавлявший фонд, продолжит работу в составе его совета директоров, </w:t>
      </w:r>
      <w:hyperlink w:anchor="a3" w:history="1">
        <w:r w:rsidRPr="00397EEA">
          <w:rPr>
            <w:rStyle w:val="a3"/>
            <w:i/>
          </w:rPr>
          <w:t xml:space="preserve">сообщает </w:t>
        </w:r>
        <w:r w:rsidR="00397EEA">
          <w:rPr>
            <w:rStyle w:val="a3"/>
            <w:i/>
          </w:rPr>
          <w:t>«</w:t>
        </w:r>
        <w:r w:rsidRPr="00397EEA">
          <w:rPr>
            <w:rStyle w:val="a3"/>
            <w:i/>
          </w:rPr>
          <w:t>Интерфакс</w:t>
        </w:r>
        <w:r w:rsidR="00397EEA">
          <w:rPr>
            <w:rStyle w:val="a3"/>
            <w:i/>
          </w:rPr>
          <w:t>»</w:t>
        </w:r>
      </w:hyperlink>
    </w:p>
    <w:p w14:paraId="685AC836" w14:textId="77777777" w:rsidR="00774AFB" w:rsidRPr="00397EEA" w:rsidRDefault="00774AFB" w:rsidP="00676D5F">
      <w:pPr>
        <w:numPr>
          <w:ilvl w:val="0"/>
          <w:numId w:val="25"/>
        </w:numPr>
        <w:rPr>
          <w:i/>
        </w:rPr>
      </w:pPr>
      <w:r w:rsidRPr="00397EEA">
        <w:rPr>
          <w:i/>
        </w:rPr>
        <w:t xml:space="preserve">За семь месяцев 2024 года НПФ </w:t>
      </w:r>
      <w:r w:rsidR="00397EEA">
        <w:rPr>
          <w:i/>
        </w:rPr>
        <w:t>«</w:t>
      </w:r>
      <w:r w:rsidRPr="00397EEA">
        <w:rPr>
          <w:i/>
        </w:rPr>
        <w:t>БУДУЩЕЕ</w:t>
      </w:r>
      <w:r w:rsidR="00397EEA">
        <w:rPr>
          <w:i/>
        </w:rPr>
        <w:t>»</w:t>
      </w:r>
      <w:r w:rsidRPr="00397EEA">
        <w:rPr>
          <w:i/>
        </w:rPr>
        <w:t xml:space="preserve"> выплатил клиентам более 3,5 млрд рублей. По сравнению с аналогичным периодом 2023 года эта сумма выросла на 23%. Основная часть выплаченных средств пришлась на пенсии по договорам обязательного пенсионного страхования (ОПС) — 3,4 млрд рублей. Рост этих платежей по сравнению с аналогичным отчетным периодом прошлого года составил 24%. Всего по стране выплаты в рамках обязательного пенсионного страхования от НПФ </w:t>
      </w:r>
      <w:r w:rsidR="00397EEA">
        <w:rPr>
          <w:i/>
        </w:rPr>
        <w:t>«</w:t>
      </w:r>
      <w:r w:rsidRPr="00397EEA">
        <w:rPr>
          <w:i/>
        </w:rPr>
        <w:t>БУДУЩЕЕ</w:t>
      </w:r>
      <w:r w:rsidR="00397EEA">
        <w:rPr>
          <w:i/>
        </w:rPr>
        <w:t>»</w:t>
      </w:r>
      <w:r w:rsidRPr="00397EEA">
        <w:rPr>
          <w:i/>
        </w:rPr>
        <w:t xml:space="preserve"> получили 32 тыс. россиян, </w:t>
      </w:r>
      <w:hyperlink w:anchor="a4" w:history="1">
        <w:r w:rsidRPr="00397EEA">
          <w:rPr>
            <w:rStyle w:val="a3"/>
            <w:i/>
          </w:rPr>
          <w:t xml:space="preserve">пишет </w:t>
        </w:r>
        <w:r w:rsidR="00397EEA">
          <w:rPr>
            <w:rStyle w:val="a3"/>
            <w:i/>
          </w:rPr>
          <w:t>«</w:t>
        </w:r>
        <w:r w:rsidRPr="00397EEA">
          <w:rPr>
            <w:rStyle w:val="a3"/>
            <w:i/>
          </w:rPr>
          <w:t>Ваш пенсионный брокер</w:t>
        </w:r>
        <w:r w:rsidR="00397EEA">
          <w:rPr>
            <w:rStyle w:val="a3"/>
            <w:i/>
          </w:rPr>
          <w:t>»</w:t>
        </w:r>
      </w:hyperlink>
    </w:p>
    <w:p w14:paraId="7DBFBA45" w14:textId="77777777" w:rsidR="00774AFB" w:rsidRPr="00397EEA" w:rsidRDefault="00774AFB" w:rsidP="00676D5F">
      <w:pPr>
        <w:numPr>
          <w:ilvl w:val="0"/>
          <w:numId w:val="25"/>
        </w:numPr>
        <w:rPr>
          <w:i/>
        </w:rPr>
      </w:pPr>
      <w:r w:rsidRPr="00397EEA">
        <w:rPr>
          <w:i/>
        </w:rPr>
        <w:t xml:space="preserve">В Свердловской области за I полугодие 2024 года региональные компании опубликовали 3 тыс. вакансий, предлагающих корпоративную пенсионную программу (КПП) как мотивирующую льготу. Это на 40% больше аналогичных показателей 2023 года. Об этом говорится в исследовании, проведенном совместно с НПФ </w:t>
      </w:r>
      <w:r w:rsidR="00397EEA">
        <w:rPr>
          <w:i/>
        </w:rPr>
        <w:t>«</w:t>
      </w:r>
      <w:r w:rsidRPr="00397EEA">
        <w:rPr>
          <w:i/>
        </w:rPr>
        <w:t>Эволюция</w:t>
      </w:r>
      <w:r w:rsidR="00397EEA">
        <w:rPr>
          <w:i/>
        </w:rPr>
        <w:t>»</w:t>
      </w:r>
      <w:r w:rsidRPr="00397EEA">
        <w:rPr>
          <w:i/>
        </w:rPr>
        <w:t xml:space="preserve"> российской платформой онлайн-рекрутинга hh.ru, </w:t>
      </w:r>
      <w:hyperlink w:anchor="a5" w:history="1">
        <w:r w:rsidRPr="00397EEA">
          <w:rPr>
            <w:rStyle w:val="a3"/>
            <w:i/>
          </w:rPr>
          <w:t xml:space="preserve">сообщает </w:t>
        </w:r>
        <w:r w:rsidR="00397EEA">
          <w:rPr>
            <w:rStyle w:val="a3"/>
            <w:i/>
          </w:rPr>
          <w:t>«</w:t>
        </w:r>
        <w:r w:rsidRPr="00397EEA">
          <w:rPr>
            <w:rStyle w:val="a3"/>
            <w:i/>
          </w:rPr>
          <w:t>УралБизнесКонсалтинг</w:t>
        </w:r>
        <w:r w:rsidR="00397EEA">
          <w:rPr>
            <w:rStyle w:val="a3"/>
            <w:i/>
          </w:rPr>
          <w:t>»</w:t>
        </w:r>
      </w:hyperlink>
    </w:p>
    <w:p w14:paraId="3F59F688" w14:textId="77777777" w:rsidR="00774AFB" w:rsidRPr="00397EEA" w:rsidRDefault="00774AFB" w:rsidP="00676D5F">
      <w:pPr>
        <w:numPr>
          <w:ilvl w:val="0"/>
          <w:numId w:val="25"/>
        </w:numPr>
        <w:rPr>
          <w:i/>
        </w:rPr>
      </w:pPr>
      <w:r w:rsidRPr="00397EEA">
        <w:rPr>
          <w:i/>
        </w:rPr>
        <w:t xml:space="preserve">Число участников программы долгосрочных сбережений за апрель-июнь удвоилось, а середине августа превысило 1 миллион. Это следует из Обзора ключевых показателей негосударственных пенсионных фондов, опубликованного Банком России 29 августа. Объем привлеченных в программу средств с учетом государственного софинансирования и заявлений о переводе пенсионных накоплений превысил 51 миллиард рублей, уточняется в документе, </w:t>
      </w:r>
      <w:hyperlink w:anchor="a6" w:history="1">
        <w:r w:rsidRPr="00397EEA">
          <w:rPr>
            <w:rStyle w:val="a3"/>
            <w:i/>
          </w:rPr>
          <w:t xml:space="preserve">пишет </w:t>
        </w:r>
        <w:r w:rsidR="00397EEA">
          <w:rPr>
            <w:rStyle w:val="a3"/>
            <w:i/>
          </w:rPr>
          <w:t>«</w:t>
        </w:r>
        <w:r w:rsidRPr="00397EEA">
          <w:rPr>
            <w:rStyle w:val="a3"/>
            <w:i/>
          </w:rPr>
          <w:t>Парламентская газета</w:t>
        </w:r>
        <w:r w:rsidR="00397EEA">
          <w:rPr>
            <w:rStyle w:val="a3"/>
            <w:i/>
          </w:rPr>
          <w:t>»</w:t>
        </w:r>
      </w:hyperlink>
    </w:p>
    <w:p w14:paraId="795396D8" w14:textId="77777777" w:rsidR="00774AFB" w:rsidRPr="00397EEA" w:rsidRDefault="00774AFB" w:rsidP="00676D5F">
      <w:pPr>
        <w:numPr>
          <w:ilvl w:val="0"/>
          <w:numId w:val="25"/>
        </w:numPr>
        <w:rPr>
          <w:i/>
        </w:rPr>
      </w:pPr>
      <w:r w:rsidRPr="00397EEA">
        <w:rPr>
          <w:i/>
        </w:rPr>
        <w:t xml:space="preserve">Два очевидных плюса программы долгосрочных сбережений — софинансирование от государства и возможность получить налоговый вычет. Есть и третий, на этот счет можно перевести свою накопительную часть пенсии, забрать деньги у государства, сделать их своими и получать на них процент от инвестиций. Но есть случаи, когда лучше накопления не трогать. </w:t>
      </w:r>
      <w:hyperlink w:anchor="a7" w:history="1">
        <w:r w:rsidR="00397EEA">
          <w:rPr>
            <w:rStyle w:val="a3"/>
            <w:i/>
          </w:rPr>
          <w:t>«</w:t>
        </w:r>
        <w:r w:rsidRPr="00397EEA">
          <w:rPr>
            <w:rStyle w:val="a3"/>
            <w:i/>
          </w:rPr>
          <w:t>Пенсия.pro</w:t>
        </w:r>
        <w:r w:rsidR="00397EEA">
          <w:rPr>
            <w:rStyle w:val="a3"/>
            <w:i/>
          </w:rPr>
          <w:t>»</w:t>
        </w:r>
        <w:r w:rsidRPr="00397EEA">
          <w:rPr>
            <w:rStyle w:val="a3"/>
            <w:i/>
          </w:rPr>
          <w:t xml:space="preserve"> объясняет</w:t>
        </w:r>
      </w:hyperlink>
      <w:r w:rsidRPr="00397EEA">
        <w:rPr>
          <w:i/>
        </w:rPr>
        <w:t xml:space="preserve"> на конкретных примерах</w:t>
      </w:r>
    </w:p>
    <w:p w14:paraId="16CEDBB3" w14:textId="77777777" w:rsidR="00B868D6" w:rsidRPr="00397EEA" w:rsidRDefault="00B868D6" w:rsidP="00676D5F">
      <w:pPr>
        <w:numPr>
          <w:ilvl w:val="0"/>
          <w:numId w:val="25"/>
        </w:numPr>
        <w:rPr>
          <w:i/>
        </w:rPr>
      </w:pPr>
      <w:r w:rsidRPr="00397EEA">
        <w:rPr>
          <w:i/>
        </w:rPr>
        <w:lastRenderedPageBreak/>
        <w:t xml:space="preserve">Наибольший спрос на заключение договоров в рамках программы долгосрочных сбережений (ПДС) наблюдается со стороны работников образования. Их среди заключивших договоры 36 %, заявил вице-президент Национальной ассоциации негосударственных пенсионных фондов Алексей Денисов. Следом после учителей и прочих педагогических работников идут врачи и медперсонал, а также чиновники - таких по 11 %. А банковские клерки и финансисты, которые, по логике вещей, должны быть самыми осведомленными о ПДС, не так активны - среди них участников госпрограммы только 8 %, </w:t>
      </w:r>
      <w:hyperlink w:anchor="a8" w:history="1">
        <w:r w:rsidRPr="00397EEA">
          <w:rPr>
            <w:rStyle w:val="a3"/>
            <w:i/>
          </w:rPr>
          <w:t>сообщается на официальном сайте НАПФ</w:t>
        </w:r>
      </w:hyperlink>
    </w:p>
    <w:p w14:paraId="18CF25FD" w14:textId="77777777" w:rsidR="00CB047E" w:rsidRPr="00397EEA" w:rsidRDefault="00CB047E" w:rsidP="00676D5F">
      <w:pPr>
        <w:numPr>
          <w:ilvl w:val="0"/>
          <w:numId w:val="25"/>
        </w:numPr>
        <w:rPr>
          <w:i/>
        </w:rPr>
      </w:pPr>
      <w:r w:rsidRPr="00397EEA">
        <w:rPr>
          <w:i/>
        </w:rPr>
        <w:t xml:space="preserve">Власти запланировали проведение коррекции правил начисления индивидуальных пенсионных коэффициентов (ИПК) в пользу работающих пенсионеров. Это следует из проекта паспорта национального проекта </w:t>
      </w:r>
      <w:r w:rsidR="00397EEA">
        <w:rPr>
          <w:i/>
        </w:rPr>
        <w:t>«</w:t>
      </w:r>
      <w:r w:rsidRPr="00397EEA">
        <w:rPr>
          <w:i/>
        </w:rPr>
        <w:t>Кадры</w:t>
      </w:r>
      <w:r w:rsidR="00397EEA">
        <w:rPr>
          <w:i/>
        </w:rPr>
        <w:t>»</w:t>
      </w:r>
      <w:r w:rsidRPr="00397EEA">
        <w:rPr>
          <w:i/>
        </w:rPr>
        <w:t xml:space="preserve">, который был вынесен на заседание рабочей группы профильной комиссии Госсовета 28 августа и охватывает период до 2030 года, </w:t>
      </w:r>
      <w:hyperlink w:anchor="a9" w:history="1">
        <w:r w:rsidRPr="00397EEA">
          <w:rPr>
            <w:rStyle w:val="a3"/>
            <w:i/>
          </w:rPr>
          <w:t xml:space="preserve">пишет </w:t>
        </w:r>
        <w:r w:rsidR="00397EEA">
          <w:rPr>
            <w:rStyle w:val="a3"/>
            <w:i/>
          </w:rPr>
          <w:t>«</w:t>
        </w:r>
        <w:r w:rsidRPr="00397EEA">
          <w:rPr>
            <w:rStyle w:val="a3"/>
            <w:i/>
          </w:rPr>
          <w:t>РБК</w:t>
        </w:r>
        <w:r w:rsidR="00397EEA">
          <w:rPr>
            <w:rStyle w:val="a3"/>
            <w:i/>
          </w:rPr>
          <w:t>»</w:t>
        </w:r>
      </w:hyperlink>
    </w:p>
    <w:p w14:paraId="5DF12B15" w14:textId="77777777" w:rsidR="00D95BB8" w:rsidRPr="00397EEA" w:rsidRDefault="00D95BB8" w:rsidP="00676D5F">
      <w:pPr>
        <w:numPr>
          <w:ilvl w:val="0"/>
          <w:numId w:val="25"/>
        </w:numPr>
        <w:rPr>
          <w:i/>
        </w:rPr>
      </w:pPr>
      <w:r w:rsidRPr="00397EEA">
        <w:rPr>
          <w:i/>
        </w:rPr>
        <w:t xml:space="preserve">Срочная служба в армии засчитывается в пенсионный стаж и превращается в год стажа и 1,8 пенсионного коэффициента, этот период будет учтен и при досрочном выходе на пенсию, </w:t>
      </w:r>
      <w:hyperlink w:anchor="a10" w:history="1">
        <w:r w:rsidRPr="00397EEA">
          <w:rPr>
            <w:rStyle w:val="a3"/>
            <w:i/>
          </w:rPr>
          <w:t>сообщили РИА Новости</w:t>
        </w:r>
      </w:hyperlink>
      <w:r w:rsidRPr="00397EEA">
        <w:rPr>
          <w:i/>
        </w:rPr>
        <w:t xml:space="preserve"> в Социальной фонде России. Отмечается, что служба в советской армии дает такие же пенсионные права. При этом службу до 2002 года можно засчитать для пенсии альтернативным способом, который дает больше стажа. В таком случае периоды службы учитываются в двойном размере - то есть год за два. Период участия в боевых действиях учитывается в тройном размере</w:t>
      </w:r>
    </w:p>
    <w:p w14:paraId="080EAC1C" w14:textId="77777777" w:rsidR="00940029" w:rsidRPr="00397EEA" w:rsidRDefault="009D79CC" w:rsidP="00940029">
      <w:pPr>
        <w:pStyle w:val="10"/>
        <w:jc w:val="center"/>
      </w:pPr>
      <w:bookmarkStart w:id="6" w:name="_Toc173015209"/>
      <w:bookmarkStart w:id="7" w:name="_Toc175897197"/>
      <w:r w:rsidRPr="00397EEA">
        <w:t>Ци</w:t>
      </w:r>
      <w:r w:rsidR="00940029" w:rsidRPr="00397EEA">
        <w:t>таты дня</w:t>
      </w:r>
      <w:bookmarkEnd w:id="6"/>
      <w:bookmarkEnd w:id="7"/>
    </w:p>
    <w:p w14:paraId="35ED5BBB" w14:textId="77777777" w:rsidR="00046CCA" w:rsidRPr="00397EEA" w:rsidRDefault="00046CCA" w:rsidP="003B3BAA">
      <w:pPr>
        <w:numPr>
          <w:ilvl w:val="0"/>
          <w:numId w:val="27"/>
        </w:numPr>
        <w:rPr>
          <w:i/>
        </w:rPr>
      </w:pPr>
      <w:r w:rsidRPr="00397EEA">
        <w:rPr>
          <w:i/>
        </w:rPr>
        <w:t xml:space="preserve">Аркадий Недбай, председатель совета НАПФ: </w:t>
      </w:r>
      <w:r w:rsidR="00397EEA">
        <w:rPr>
          <w:i/>
        </w:rPr>
        <w:t>«</w:t>
      </w:r>
      <w:r w:rsidRPr="00397EEA">
        <w:rPr>
          <w:i/>
        </w:rPr>
        <w:t>НПФ намерены завершить год с доходностью рыночных портфелей на уровне 10–13% годовых с прогнозом на следующий год в диапазоне 15–19%</w:t>
      </w:r>
      <w:r w:rsidR="00397EEA">
        <w:rPr>
          <w:i/>
        </w:rPr>
        <w:t>»</w:t>
      </w:r>
    </w:p>
    <w:p w14:paraId="6DE4D931" w14:textId="77777777" w:rsidR="00676D5F" w:rsidRPr="00397EEA" w:rsidRDefault="00D95BB8" w:rsidP="003B3BAA">
      <w:pPr>
        <w:numPr>
          <w:ilvl w:val="0"/>
          <w:numId w:val="27"/>
        </w:numPr>
        <w:rPr>
          <w:i/>
        </w:rPr>
      </w:pPr>
      <w:r w:rsidRPr="00397EEA">
        <w:rPr>
          <w:i/>
        </w:rPr>
        <w:t xml:space="preserve">Алексей Денисов, вице-президент НАПФ: </w:t>
      </w:r>
      <w:r w:rsidR="00397EEA">
        <w:rPr>
          <w:i/>
        </w:rPr>
        <w:t>«</w:t>
      </w:r>
      <w:r w:rsidRPr="00397EEA">
        <w:rPr>
          <w:i/>
        </w:rPr>
        <w:t>По российской статистике программой долгосрочных сбережений в первую очередь интересуются работники в сфере образования (36%), медицинские сотрудники, госслужащие (по 11%), представители финансовых служб (8%) и пенсионеры (3,5%)</w:t>
      </w:r>
      <w:r w:rsidR="00397EEA">
        <w:rPr>
          <w:i/>
        </w:rPr>
        <w:t>»</w:t>
      </w:r>
    </w:p>
    <w:p w14:paraId="7F6D18D8" w14:textId="77777777" w:rsidR="00D95BB8" w:rsidRPr="00397EEA" w:rsidRDefault="00D95BB8" w:rsidP="003B3BAA">
      <w:pPr>
        <w:numPr>
          <w:ilvl w:val="0"/>
          <w:numId w:val="27"/>
        </w:numPr>
        <w:rPr>
          <w:i/>
        </w:rPr>
      </w:pPr>
      <w:r w:rsidRPr="00397EEA">
        <w:rPr>
          <w:i/>
        </w:rPr>
        <w:t xml:space="preserve">По словам директора департамента инвестиционных финансовых посредников Банка России Ольги Шишлянниковой, этим инструментом (ПДС – ред.) профильные ведомства стремятся изменить тренд. </w:t>
      </w:r>
      <w:r w:rsidR="00397EEA">
        <w:rPr>
          <w:i/>
        </w:rPr>
        <w:t>«</w:t>
      </w:r>
      <w:r w:rsidRPr="00397EEA">
        <w:rPr>
          <w:i/>
        </w:rPr>
        <w:t>Да, пока у россиян нет сложившей привычки откладывать на длительный срок, но граждане, которые заботятся о своем будущем, полагаем, будут участвовать в программе</w:t>
      </w:r>
      <w:r w:rsidR="00397EEA">
        <w:rPr>
          <w:i/>
        </w:rPr>
        <w:t>»</w:t>
      </w:r>
      <w:r w:rsidRPr="00397EEA">
        <w:rPr>
          <w:i/>
        </w:rPr>
        <w:t>, – выразила уверенность Ольга Шишлянникова. По ее словам, новый инструмент поможет сформировать у россиян правильное отношение к долгосрочным инвестициям. Он даст возможность копить деньги на определённую цель даже людям с небольшими доходами. Регулятор обращает внимание и на минимальный уровень рисков</w:t>
      </w:r>
    </w:p>
    <w:p w14:paraId="175F13FA" w14:textId="77777777" w:rsidR="00A0290C" w:rsidRPr="00397EEA"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97EEA">
        <w:rPr>
          <w:u w:val="single"/>
        </w:rPr>
        <w:lastRenderedPageBreak/>
        <w:t>ОГЛАВЛЕНИЕ</w:t>
      </w:r>
    </w:p>
    <w:p w14:paraId="5BBBC324" w14:textId="5AEE2750" w:rsidR="00095A57" w:rsidRDefault="00DD0774">
      <w:pPr>
        <w:pStyle w:val="12"/>
        <w:tabs>
          <w:tab w:val="right" w:leader="dot" w:pos="9061"/>
        </w:tabs>
        <w:rPr>
          <w:rFonts w:ascii="Calibri" w:hAnsi="Calibri"/>
          <w:b w:val="0"/>
          <w:noProof/>
          <w:kern w:val="2"/>
          <w:sz w:val="24"/>
        </w:rPr>
      </w:pPr>
      <w:r w:rsidRPr="00397EEA">
        <w:rPr>
          <w:caps/>
        </w:rPr>
        <w:fldChar w:fldCharType="begin"/>
      </w:r>
      <w:r w:rsidR="00310633" w:rsidRPr="00397EEA">
        <w:rPr>
          <w:caps/>
        </w:rPr>
        <w:instrText xml:space="preserve"> TOC \o "1-5" \h \z \u </w:instrText>
      </w:r>
      <w:r w:rsidRPr="00397EEA">
        <w:rPr>
          <w:caps/>
        </w:rPr>
        <w:fldChar w:fldCharType="separate"/>
      </w:r>
      <w:hyperlink w:anchor="_Toc175897196" w:history="1">
        <w:r w:rsidR="00095A57" w:rsidRPr="0015580C">
          <w:rPr>
            <w:rStyle w:val="a3"/>
            <w:noProof/>
          </w:rPr>
          <w:t>Темы</w:t>
        </w:r>
        <w:r w:rsidR="00095A57" w:rsidRPr="0015580C">
          <w:rPr>
            <w:rStyle w:val="a3"/>
            <w:rFonts w:ascii="Arial Rounded MT Bold" w:hAnsi="Arial Rounded MT Bold"/>
            <w:noProof/>
          </w:rPr>
          <w:t xml:space="preserve"> </w:t>
        </w:r>
        <w:r w:rsidR="00095A57" w:rsidRPr="0015580C">
          <w:rPr>
            <w:rStyle w:val="a3"/>
            <w:noProof/>
          </w:rPr>
          <w:t>дня</w:t>
        </w:r>
        <w:r w:rsidR="00095A57">
          <w:rPr>
            <w:noProof/>
            <w:webHidden/>
          </w:rPr>
          <w:tab/>
        </w:r>
        <w:r w:rsidR="00095A57">
          <w:rPr>
            <w:noProof/>
            <w:webHidden/>
          </w:rPr>
          <w:fldChar w:fldCharType="begin"/>
        </w:r>
        <w:r w:rsidR="00095A57">
          <w:rPr>
            <w:noProof/>
            <w:webHidden/>
          </w:rPr>
          <w:instrText xml:space="preserve"> PAGEREF _Toc175897196 \h </w:instrText>
        </w:r>
        <w:r w:rsidR="00095A57">
          <w:rPr>
            <w:noProof/>
            <w:webHidden/>
          </w:rPr>
        </w:r>
        <w:r w:rsidR="00095A57">
          <w:rPr>
            <w:noProof/>
            <w:webHidden/>
          </w:rPr>
          <w:fldChar w:fldCharType="separate"/>
        </w:r>
        <w:r w:rsidR="00095A57">
          <w:rPr>
            <w:noProof/>
            <w:webHidden/>
          </w:rPr>
          <w:t>2</w:t>
        </w:r>
        <w:r w:rsidR="00095A57">
          <w:rPr>
            <w:noProof/>
            <w:webHidden/>
          </w:rPr>
          <w:fldChar w:fldCharType="end"/>
        </w:r>
      </w:hyperlink>
    </w:p>
    <w:p w14:paraId="4D3A2D12" w14:textId="76FAC4D8" w:rsidR="00095A57" w:rsidRDefault="00997114">
      <w:pPr>
        <w:pStyle w:val="12"/>
        <w:tabs>
          <w:tab w:val="right" w:leader="dot" w:pos="9061"/>
        </w:tabs>
        <w:rPr>
          <w:rFonts w:ascii="Calibri" w:hAnsi="Calibri"/>
          <w:b w:val="0"/>
          <w:noProof/>
          <w:kern w:val="2"/>
          <w:sz w:val="24"/>
        </w:rPr>
      </w:pPr>
      <w:hyperlink w:anchor="_Toc175897197" w:history="1">
        <w:r w:rsidR="00095A57" w:rsidRPr="0015580C">
          <w:rPr>
            <w:rStyle w:val="a3"/>
            <w:noProof/>
          </w:rPr>
          <w:t>Цитаты дня</w:t>
        </w:r>
        <w:r w:rsidR="00095A57">
          <w:rPr>
            <w:noProof/>
            <w:webHidden/>
          </w:rPr>
          <w:tab/>
        </w:r>
        <w:r w:rsidR="00095A57">
          <w:rPr>
            <w:noProof/>
            <w:webHidden/>
          </w:rPr>
          <w:fldChar w:fldCharType="begin"/>
        </w:r>
        <w:r w:rsidR="00095A57">
          <w:rPr>
            <w:noProof/>
            <w:webHidden/>
          </w:rPr>
          <w:instrText xml:space="preserve"> PAGEREF _Toc175897197 \h </w:instrText>
        </w:r>
        <w:r w:rsidR="00095A57">
          <w:rPr>
            <w:noProof/>
            <w:webHidden/>
          </w:rPr>
        </w:r>
        <w:r w:rsidR="00095A57">
          <w:rPr>
            <w:noProof/>
            <w:webHidden/>
          </w:rPr>
          <w:fldChar w:fldCharType="separate"/>
        </w:r>
        <w:r w:rsidR="00095A57">
          <w:rPr>
            <w:noProof/>
            <w:webHidden/>
          </w:rPr>
          <w:t>3</w:t>
        </w:r>
        <w:r w:rsidR="00095A57">
          <w:rPr>
            <w:noProof/>
            <w:webHidden/>
          </w:rPr>
          <w:fldChar w:fldCharType="end"/>
        </w:r>
      </w:hyperlink>
    </w:p>
    <w:p w14:paraId="4BDFE215" w14:textId="79CD9679" w:rsidR="00095A57" w:rsidRDefault="00997114">
      <w:pPr>
        <w:pStyle w:val="12"/>
        <w:tabs>
          <w:tab w:val="right" w:leader="dot" w:pos="9061"/>
        </w:tabs>
        <w:rPr>
          <w:rFonts w:ascii="Calibri" w:hAnsi="Calibri"/>
          <w:b w:val="0"/>
          <w:noProof/>
          <w:kern w:val="2"/>
          <w:sz w:val="24"/>
        </w:rPr>
      </w:pPr>
      <w:hyperlink w:anchor="_Toc175897198" w:history="1">
        <w:r w:rsidR="00095A57" w:rsidRPr="0015580C">
          <w:rPr>
            <w:rStyle w:val="a3"/>
            <w:noProof/>
          </w:rPr>
          <w:t>НОВОСТИ ПЕНСИОННОЙ ОТРАСЛИ</w:t>
        </w:r>
        <w:r w:rsidR="00095A57">
          <w:rPr>
            <w:noProof/>
            <w:webHidden/>
          </w:rPr>
          <w:tab/>
        </w:r>
        <w:r w:rsidR="00095A57">
          <w:rPr>
            <w:noProof/>
            <w:webHidden/>
          </w:rPr>
          <w:fldChar w:fldCharType="begin"/>
        </w:r>
        <w:r w:rsidR="00095A57">
          <w:rPr>
            <w:noProof/>
            <w:webHidden/>
          </w:rPr>
          <w:instrText xml:space="preserve"> PAGEREF _Toc175897198 \h </w:instrText>
        </w:r>
        <w:r w:rsidR="00095A57">
          <w:rPr>
            <w:noProof/>
            <w:webHidden/>
          </w:rPr>
        </w:r>
        <w:r w:rsidR="00095A57">
          <w:rPr>
            <w:noProof/>
            <w:webHidden/>
          </w:rPr>
          <w:fldChar w:fldCharType="separate"/>
        </w:r>
        <w:r w:rsidR="00095A57">
          <w:rPr>
            <w:noProof/>
            <w:webHidden/>
          </w:rPr>
          <w:t>10</w:t>
        </w:r>
        <w:r w:rsidR="00095A57">
          <w:rPr>
            <w:noProof/>
            <w:webHidden/>
          </w:rPr>
          <w:fldChar w:fldCharType="end"/>
        </w:r>
      </w:hyperlink>
    </w:p>
    <w:p w14:paraId="66F11199" w14:textId="2362481D" w:rsidR="00095A57" w:rsidRDefault="00997114">
      <w:pPr>
        <w:pStyle w:val="12"/>
        <w:tabs>
          <w:tab w:val="right" w:leader="dot" w:pos="9061"/>
        </w:tabs>
        <w:rPr>
          <w:rFonts w:ascii="Calibri" w:hAnsi="Calibri"/>
          <w:b w:val="0"/>
          <w:noProof/>
          <w:kern w:val="2"/>
          <w:sz w:val="24"/>
        </w:rPr>
      </w:pPr>
      <w:hyperlink w:anchor="_Toc175897199" w:history="1">
        <w:r w:rsidR="00095A57" w:rsidRPr="0015580C">
          <w:rPr>
            <w:rStyle w:val="a3"/>
            <w:noProof/>
          </w:rPr>
          <w:t>Новости отрасли НПФ</w:t>
        </w:r>
        <w:r w:rsidR="00095A57">
          <w:rPr>
            <w:noProof/>
            <w:webHidden/>
          </w:rPr>
          <w:tab/>
        </w:r>
        <w:r w:rsidR="00095A57">
          <w:rPr>
            <w:noProof/>
            <w:webHidden/>
          </w:rPr>
          <w:fldChar w:fldCharType="begin"/>
        </w:r>
        <w:r w:rsidR="00095A57">
          <w:rPr>
            <w:noProof/>
            <w:webHidden/>
          </w:rPr>
          <w:instrText xml:space="preserve"> PAGEREF _Toc175897199 \h </w:instrText>
        </w:r>
        <w:r w:rsidR="00095A57">
          <w:rPr>
            <w:noProof/>
            <w:webHidden/>
          </w:rPr>
        </w:r>
        <w:r w:rsidR="00095A57">
          <w:rPr>
            <w:noProof/>
            <w:webHidden/>
          </w:rPr>
          <w:fldChar w:fldCharType="separate"/>
        </w:r>
        <w:r w:rsidR="00095A57">
          <w:rPr>
            <w:noProof/>
            <w:webHidden/>
          </w:rPr>
          <w:t>10</w:t>
        </w:r>
        <w:r w:rsidR="00095A57">
          <w:rPr>
            <w:noProof/>
            <w:webHidden/>
          </w:rPr>
          <w:fldChar w:fldCharType="end"/>
        </w:r>
      </w:hyperlink>
    </w:p>
    <w:p w14:paraId="493D0FD8" w14:textId="4C770C27" w:rsidR="00095A57" w:rsidRDefault="00997114">
      <w:pPr>
        <w:pStyle w:val="21"/>
        <w:tabs>
          <w:tab w:val="right" w:leader="dot" w:pos="9061"/>
        </w:tabs>
        <w:rPr>
          <w:rFonts w:ascii="Calibri" w:hAnsi="Calibri"/>
          <w:noProof/>
          <w:kern w:val="2"/>
        </w:rPr>
      </w:pPr>
      <w:hyperlink w:anchor="_Toc175897200" w:history="1">
        <w:r w:rsidR="00095A57" w:rsidRPr="0015580C">
          <w:rPr>
            <w:rStyle w:val="a3"/>
            <w:noProof/>
          </w:rPr>
          <w:t>Банковское обозрение, 29.08.2024, Объем портфелей НПФ и СФР достиг 7,7 трлн рублей во II квартале</w:t>
        </w:r>
        <w:r w:rsidR="00095A57">
          <w:rPr>
            <w:noProof/>
            <w:webHidden/>
          </w:rPr>
          <w:tab/>
        </w:r>
        <w:r w:rsidR="00095A57">
          <w:rPr>
            <w:noProof/>
            <w:webHidden/>
          </w:rPr>
          <w:fldChar w:fldCharType="begin"/>
        </w:r>
        <w:r w:rsidR="00095A57">
          <w:rPr>
            <w:noProof/>
            <w:webHidden/>
          </w:rPr>
          <w:instrText xml:space="preserve"> PAGEREF _Toc175897200 \h </w:instrText>
        </w:r>
        <w:r w:rsidR="00095A57">
          <w:rPr>
            <w:noProof/>
            <w:webHidden/>
          </w:rPr>
        </w:r>
        <w:r w:rsidR="00095A57">
          <w:rPr>
            <w:noProof/>
            <w:webHidden/>
          </w:rPr>
          <w:fldChar w:fldCharType="separate"/>
        </w:r>
        <w:r w:rsidR="00095A57">
          <w:rPr>
            <w:noProof/>
            <w:webHidden/>
          </w:rPr>
          <w:t>10</w:t>
        </w:r>
        <w:r w:rsidR="00095A57">
          <w:rPr>
            <w:noProof/>
            <w:webHidden/>
          </w:rPr>
          <w:fldChar w:fldCharType="end"/>
        </w:r>
      </w:hyperlink>
    </w:p>
    <w:p w14:paraId="4695B593" w14:textId="1C0D02EF" w:rsidR="00095A57" w:rsidRDefault="00997114">
      <w:pPr>
        <w:pStyle w:val="31"/>
        <w:rPr>
          <w:rFonts w:ascii="Calibri" w:hAnsi="Calibri"/>
          <w:kern w:val="2"/>
        </w:rPr>
      </w:pPr>
      <w:hyperlink w:anchor="_Toc175897201" w:history="1">
        <w:r w:rsidR="00095A57" w:rsidRPr="0015580C">
          <w:rPr>
            <w:rStyle w:val="a3"/>
          </w:rPr>
          <w:t>Во втором квартале совокупный объем портфелей негосударственных пенсионных фондов (НПФ) и Социального фонда России (СФР) увеличился до 7,7 трлн рублей, сообщается в «Обзоре ключевых показателей негосударственных пенсионных фондов» за второй квартал 2024 года Банка России. Это произошло благодаря ускорению темпов роста пенсионных резервов (ПР) НПФ, которые к концу июня превысили 1,9 трлн рублей. Банковское обозрение</w:t>
        </w:r>
        <w:r w:rsidR="00095A57">
          <w:rPr>
            <w:webHidden/>
          </w:rPr>
          <w:tab/>
        </w:r>
        <w:r w:rsidR="00095A57">
          <w:rPr>
            <w:webHidden/>
          </w:rPr>
          <w:fldChar w:fldCharType="begin"/>
        </w:r>
        <w:r w:rsidR="00095A57">
          <w:rPr>
            <w:webHidden/>
          </w:rPr>
          <w:instrText xml:space="preserve"> PAGEREF _Toc175897201 \h </w:instrText>
        </w:r>
        <w:r w:rsidR="00095A57">
          <w:rPr>
            <w:webHidden/>
          </w:rPr>
        </w:r>
        <w:r w:rsidR="00095A57">
          <w:rPr>
            <w:webHidden/>
          </w:rPr>
          <w:fldChar w:fldCharType="separate"/>
        </w:r>
        <w:r w:rsidR="00095A57">
          <w:rPr>
            <w:webHidden/>
          </w:rPr>
          <w:t>10</w:t>
        </w:r>
        <w:r w:rsidR="00095A57">
          <w:rPr>
            <w:webHidden/>
          </w:rPr>
          <w:fldChar w:fldCharType="end"/>
        </w:r>
      </w:hyperlink>
    </w:p>
    <w:p w14:paraId="786395A6" w14:textId="2FE121B8" w:rsidR="00095A57" w:rsidRDefault="00997114">
      <w:pPr>
        <w:pStyle w:val="21"/>
        <w:tabs>
          <w:tab w:val="right" w:leader="dot" w:pos="9061"/>
        </w:tabs>
        <w:rPr>
          <w:rFonts w:ascii="Calibri" w:hAnsi="Calibri"/>
          <w:noProof/>
          <w:kern w:val="2"/>
        </w:rPr>
      </w:pPr>
      <w:hyperlink w:anchor="_Toc175897202" w:history="1">
        <w:r w:rsidR="00095A57" w:rsidRPr="0015580C">
          <w:rPr>
            <w:rStyle w:val="a3"/>
            <w:noProof/>
          </w:rPr>
          <w:t>Прайм, 29.08.2024, Рост совокупного объема портфелей НПФ и СФР превысил семь триллионов рублей</w:t>
        </w:r>
        <w:r w:rsidR="00095A57">
          <w:rPr>
            <w:noProof/>
            <w:webHidden/>
          </w:rPr>
          <w:tab/>
        </w:r>
        <w:r w:rsidR="00095A57">
          <w:rPr>
            <w:noProof/>
            <w:webHidden/>
          </w:rPr>
          <w:fldChar w:fldCharType="begin"/>
        </w:r>
        <w:r w:rsidR="00095A57">
          <w:rPr>
            <w:noProof/>
            <w:webHidden/>
          </w:rPr>
          <w:instrText xml:space="preserve"> PAGEREF _Toc175897202 \h </w:instrText>
        </w:r>
        <w:r w:rsidR="00095A57">
          <w:rPr>
            <w:noProof/>
            <w:webHidden/>
          </w:rPr>
        </w:r>
        <w:r w:rsidR="00095A57">
          <w:rPr>
            <w:noProof/>
            <w:webHidden/>
          </w:rPr>
          <w:fldChar w:fldCharType="separate"/>
        </w:r>
        <w:r w:rsidR="00095A57">
          <w:rPr>
            <w:noProof/>
            <w:webHidden/>
          </w:rPr>
          <w:t>10</w:t>
        </w:r>
        <w:r w:rsidR="00095A57">
          <w:rPr>
            <w:noProof/>
            <w:webHidden/>
          </w:rPr>
          <w:fldChar w:fldCharType="end"/>
        </w:r>
      </w:hyperlink>
    </w:p>
    <w:p w14:paraId="1F710BED" w14:textId="2C835C2B" w:rsidR="00095A57" w:rsidRDefault="00997114">
      <w:pPr>
        <w:pStyle w:val="31"/>
        <w:rPr>
          <w:rFonts w:ascii="Calibri" w:hAnsi="Calibri"/>
          <w:kern w:val="2"/>
        </w:rPr>
      </w:pPr>
      <w:hyperlink w:anchor="_Toc175897203" w:history="1">
        <w:r w:rsidR="00095A57" w:rsidRPr="0015580C">
          <w:rPr>
            <w:rStyle w:val="a3"/>
          </w:rPr>
          <w:t>Совокупный объем портфелей негосударственных пенсионных фондов (НПФ) и Социального фонда России (СФР) в прошлом квартале увеличился до 7,7 триллиона рублей, сообщает регулятор.</w:t>
        </w:r>
        <w:r w:rsidR="00095A57">
          <w:rPr>
            <w:webHidden/>
          </w:rPr>
          <w:tab/>
        </w:r>
        <w:r w:rsidR="00095A57">
          <w:rPr>
            <w:webHidden/>
          </w:rPr>
          <w:fldChar w:fldCharType="begin"/>
        </w:r>
        <w:r w:rsidR="00095A57">
          <w:rPr>
            <w:webHidden/>
          </w:rPr>
          <w:instrText xml:space="preserve"> PAGEREF _Toc175897203 \h </w:instrText>
        </w:r>
        <w:r w:rsidR="00095A57">
          <w:rPr>
            <w:webHidden/>
          </w:rPr>
        </w:r>
        <w:r w:rsidR="00095A57">
          <w:rPr>
            <w:webHidden/>
          </w:rPr>
          <w:fldChar w:fldCharType="separate"/>
        </w:r>
        <w:r w:rsidR="00095A57">
          <w:rPr>
            <w:webHidden/>
          </w:rPr>
          <w:t>10</w:t>
        </w:r>
        <w:r w:rsidR="00095A57">
          <w:rPr>
            <w:webHidden/>
          </w:rPr>
          <w:fldChar w:fldCharType="end"/>
        </w:r>
      </w:hyperlink>
    </w:p>
    <w:p w14:paraId="4EE33812" w14:textId="73659271" w:rsidR="00095A57" w:rsidRDefault="00997114">
      <w:pPr>
        <w:pStyle w:val="21"/>
        <w:tabs>
          <w:tab w:val="right" w:leader="dot" w:pos="9061"/>
        </w:tabs>
        <w:rPr>
          <w:rFonts w:ascii="Calibri" w:hAnsi="Calibri"/>
          <w:noProof/>
          <w:kern w:val="2"/>
        </w:rPr>
      </w:pPr>
      <w:hyperlink w:anchor="_Toc175897204" w:history="1">
        <w:r w:rsidR="00095A57" w:rsidRPr="0015580C">
          <w:rPr>
            <w:rStyle w:val="a3"/>
            <w:noProof/>
          </w:rPr>
          <w:t>Интерфакс, 29.08.2024, ВТБ сменил гендиректора дочернего НПФ</w:t>
        </w:r>
        <w:r w:rsidR="00095A57">
          <w:rPr>
            <w:noProof/>
            <w:webHidden/>
          </w:rPr>
          <w:tab/>
        </w:r>
        <w:r w:rsidR="00095A57">
          <w:rPr>
            <w:noProof/>
            <w:webHidden/>
          </w:rPr>
          <w:fldChar w:fldCharType="begin"/>
        </w:r>
        <w:r w:rsidR="00095A57">
          <w:rPr>
            <w:noProof/>
            <w:webHidden/>
          </w:rPr>
          <w:instrText xml:space="preserve"> PAGEREF _Toc175897204 \h </w:instrText>
        </w:r>
        <w:r w:rsidR="00095A57">
          <w:rPr>
            <w:noProof/>
            <w:webHidden/>
          </w:rPr>
        </w:r>
        <w:r w:rsidR="00095A57">
          <w:rPr>
            <w:noProof/>
            <w:webHidden/>
          </w:rPr>
          <w:fldChar w:fldCharType="separate"/>
        </w:r>
        <w:r w:rsidR="00095A57">
          <w:rPr>
            <w:noProof/>
            <w:webHidden/>
          </w:rPr>
          <w:t>11</w:t>
        </w:r>
        <w:r w:rsidR="00095A57">
          <w:rPr>
            <w:noProof/>
            <w:webHidden/>
          </w:rPr>
          <w:fldChar w:fldCharType="end"/>
        </w:r>
      </w:hyperlink>
    </w:p>
    <w:p w14:paraId="7DEAF47C" w14:textId="19054C58" w:rsidR="00095A57" w:rsidRDefault="00997114">
      <w:pPr>
        <w:pStyle w:val="31"/>
        <w:rPr>
          <w:rFonts w:ascii="Calibri" w:hAnsi="Calibri"/>
          <w:kern w:val="2"/>
        </w:rPr>
      </w:pPr>
      <w:hyperlink w:anchor="_Toc175897205" w:history="1">
        <w:r w:rsidR="00095A57" w:rsidRPr="0015580C">
          <w:rPr>
            <w:rStyle w:val="a3"/>
          </w:rPr>
          <w:t>Генеральным директором НПФ ВТБ назначен Андрей Осипов, занимавший ранее должность члена правления Почта банка, сообщил ВТБ. До согласования его кандидатуры Банком России он будет временно исполнять обязанности руководителя компании. Максим Филатов, ранее возглавлявший фонд, продолжит работу в составе его совета директоров.</w:t>
        </w:r>
        <w:r w:rsidR="00095A57">
          <w:rPr>
            <w:webHidden/>
          </w:rPr>
          <w:tab/>
        </w:r>
        <w:r w:rsidR="00095A57">
          <w:rPr>
            <w:webHidden/>
          </w:rPr>
          <w:fldChar w:fldCharType="begin"/>
        </w:r>
        <w:r w:rsidR="00095A57">
          <w:rPr>
            <w:webHidden/>
          </w:rPr>
          <w:instrText xml:space="preserve"> PAGEREF _Toc175897205 \h </w:instrText>
        </w:r>
        <w:r w:rsidR="00095A57">
          <w:rPr>
            <w:webHidden/>
          </w:rPr>
        </w:r>
        <w:r w:rsidR="00095A57">
          <w:rPr>
            <w:webHidden/>
          </w:rPr>
          <w:fldChar w:fldCharType="separate"/>
        </w:r>
        <w:r w:rsidR="00095A57">
          <w:rPr>
            <w:webHidden/>
          </w:rPr>
          <w:t>11</w:t>
        </w:r>
        <w:r w:rsidR="00095A57">
          <w:rPr>
            <w:webHidden/>
          </w:rPr>
          <w:fldChar w:fldCharType="end"/>
        </w:r>
      </w:hyperlink>
    </w:p>
    <w:p w14:paraId="39B2331B" w14:textId="23B56F19" w:rsidR="00095A57" w:rsidRDefault="00997114">
      <w:pPr>
        <w:pStyle w:val="21"/>
        <w:tabs>
          <w:tab w:val="right" w:leader="dot" w:pos="9061"/>
        </w:tabs>
        <w:rPr>
          <w:rFonts w:ascii="Calibri" w:hAnsi="Calibri"/>
          <w:noProof/>
          <w:kern w:val="2"/>
        </w:rPr>
      </w:pPr>
      <w:hyperlink w:anchor="_Toc175897206" w:history="1">
        <w:r w:rsidR="00095A57" w:rsidRPr="0015580C">
          <w:rPr>
            <w:rStyle w:val="a3"/>
            <w:noProof/>
          </w:rPr>
          <w:t>ТАСС, 29.08.2024, Гендиректором объединенных НПФ ВТБ избрали топ-менеджера из «Почта банка»</w:t>
        </w:r>
        <w:r w:rsidR="00095A57">
          <w:rPr>
            <w:noProof/>
            <w:webHidden/>
          </w:rPr>
          <w:tab/>
        </w:r>
        <w:r w:rsidR="00095A57">
          <w:rPr>
            <w:noProof/>
            <w:webHidden/>
          </w:rPr>
          <w:fldChar w:fldCharType="begin"/>
        </w:r>
        <w:r w:rsidR="00095A57">
          <w:rPr>
            <w:noProof/>
            <w:webHidden/>
          </w:rPr>
          <w:instrText xml:space="preserve"> PAGEREF _Toc175897206 \h </w:instrText>
        </w:r>
        <w:r w:rsidR="00095A57">
          <w:rPr>
            <w:noProof/>
            <w:webHidden/>
          </w:rPr>
        </w:r>
        <w:r w:rsidR="00095A57">
          <w:rPr>
            <w:noProof/>
            <w:webHidden/>
          </w:rPr>
          <w:fldChar w:fldCharType="separate"/>
        </w:r>
        <w:r w:rsidR="00095A57">
          <w:rPr>
            <w:noProof/>
            <w:webHidden/>
          </w:rPr>
          <w:t>12</w:t>
        </w:r>
        <w:r w:rsidR="00095A57">
          <w:rPr>
            <w:noProof/>
            <w:webHidden/>
          </w:rPr>
          <w:fldChar w:fldCharType="end"/>
        </w:r>
      </w:hyperlink>
    </w:p>
    <w:p w14:paraId="045F689B" w14:textId="644D5593" w:rsidR="00095A57" w:rsidRDefault="00997114">
      <w:pPr>
        <w:pStyle w:val="31"/>
        <w:rPr>
          <w:rFonts w:ascii="Calibri" w:hAnsi="Calibri"/>
          <w:kern w:val="2"/>
        </w:rPr>
      </w:pPr>
      <w:hyperlink w:anchor="_Toc175897207" w:history="1">
        <w:r w:rsidR="00095A57" w:rsidRPr="0015580C">
          <w:rPr>
            <w:rStyle w:val="a3"/>
          </w:rPr>
          <w:t>Гендиректором НПФ ВТБ (стал крупнейшим на рынке НПФ после объединения НПФ «Открытие» и «ВТБ пенсионный фонд») избран Андрей Осипов, ранее входивший в состав правления «Почта банка», сообщила пресс-служба ВТБ. В «Почта банке» он отвечал за развитие розничного бизнеса.</w:t>
        </w:r>
        <w:r w:rsidR="00095A57">
          <w:rPr>
            <w:webHidden/>
          </w:rPr>
          <w:tab/>
        </w:r>
        <w:r w:rsidR="00095A57">
          <w:rPr>
            <w:webHidden/>
          </w:rPr>
          <w:fldChar w:fldCharType="begin"/>
        </w:r>
        <w:r w:rsidR="00095A57">
          <w:rPr>
            <w:webHidden/>
          </w:rPr>
          <w:instrText xml:space="preserve"> PAGEREF _Toc175897207 \h </w:instrText>
        </w:r>
        <w:r w:rsidR="00095A57">
          <w:rPr>
            <w:webHidden/>
          </w:rPr>
        </w:r>
        <w:r w:rsidR="00095A57">
          <w:rPr>
            <w:webHidden/>
          </w:rPr>
          <w:fldChar w:fldCharType="separate"/>
        </w:r>
        <w:r w:rsidR="00095A57">
          <w:rPr>
            <w:webHidden/>
          </w:rPr>
          <w:t>12</w:t>
        </w:r>
        <w:r w:rsidR="00095A57">
          <w:rPr>
            <w:webHidden/>
          </w:rPr>
          <w:fldChar w:fldCharType="end"/>
        </w:r>
      </w:hyperlink>
    </w:p>
    <w:p w14:paraId="5B3CB4F5" w14:textId="68A12F0D" w:rsidR="00095A57" w:rsidRDefault="00997114">
      <w:pPr>
        <w:pStyle w:val="21"/>
        <w:tabs>
          <w:tab w:val="right" w:leader="dot" w:pos="9061"/>
        </w:tabs>
        <w:rPr>
          <w:rFonts w:ascii="Calibri" w:hAnsi="Calibri"/>
          <w:noProof/>
          <w:kern w:val="2"/>
        </w:rPr>
      </w:pPr>
      <w:hyperlink w:anchor="_Toc175897208" w:history="1">
        <w:r w:rsidR="00095A57" w:rsidRPr="0015580C">
          <w:rPr>
            <w:rStyle w:val="a3"/>
            <w:noProof/>
          </w:rPr>
          <w:t>Ваш пенсионный брокер, 29.08.2024, С начала года НПФ «БУДУЩЕЕ» выплатил клиентам пенсии на сумму более 3,5 млрд рублей</w:t>
        </w:r>
        <w:r w:rsidR="00095A57">
          <w:rPr>
            <w:noProof/>
            <w:webHidden/>
          </w:rPr>
          <w:tab/>
        </w:r>
        <w:r w:rsidR="00095A57">
          <w:rPr>
            <w:noProof/>
            <w:webHidden/>
          </w:rPr>
          <w:fldChar w:fldCharType="begin"/>
        </w:r>
        <w:r w:rsidR="00095A57">
          <w:rPr>
            <w:noProof/>
            <w:webHidden/>
          </w:rPr>
          <w:instrText xml:space="preserve"> PAGEREF _Toc175897208 \h </w:instrText>
        </w:r>
        <w:r w:rsidR="00095A57">
          <w:rPr>
            <w:noProof/>
            <w:webHidden/>
          </w:rPr>
        </w:r>
        <w:r w:rsidR="00095A57">
          <w:rPr>
            <w:noProof/>
            <w:webHidden/>
          </w:rPr>
          <w:fldChar w:fldCharType="separate"/>
        </w:r>
        <w:r w:rsidR="00095A57">
          <w:rPr>
            <w:noProof/>
            <w:webHidden/>
          </w:rPr>
          <w:t>12</w:t>
        </w:r>
        <w:r w:rsidR="00095A57">
          <w:rPr>
            <w:noProof/>
            <w:webHidden/>
          </w:rPr>
          <w:fldChar w:fldCharType="end"/>
        </w:r>
      </w:hyperlink>
    </w:p>
    <w:p w14:paraId="42F7131D" w14:textId="5465AF53" w:rsidR="00095A57" w:rsidRDefault="00997114">
      <w:pPr>
        <w:pStyle w:val="31"/>
        <w:rPr>
          <w:rFonts w:ascii="Calibri" w:hAnsi="Calibri"/>
          <w:kern w:val="2"/>
        </w:rPr>
      </w:pPr>
      <w:hyperlink w:anchor="_Toc175897209" w:history="1">
        <w:r w:rsidR="00095A57" w:rsidRPr="0015580C">
          <w:rPr>
            <w:rStyle w:val="a3"/>
          </w:rPr>
          <w:t>За семь месяцев 2024 года НПФ «БУДУЩЕЕ» выплатил клиентам более 3,5 млрд рублей. По сравнению с аналогичным периодом 2023 года эта сумма выросла на 23%.</w:t>
        </w:r>
        <w:r w:rsidR="00095A57">
          <w:rPr>
            <w:webHidden/>
          </w:rPr>
          <w:tab/>
        </w:r>
        <w:r w:rsidR="00095A57">
          <w:rPr>
            <w:webHidden/>
          </w:rPr>
          <w:fldChar w:fldCharType="begin"/>
        </w:r>
        <w:r w:rsidR="00095A57">
          <w:rPr>
            <w:webHidden/>
          </w:rPr>
          <w:instrText xml:space="preserve"> PAGEREF _Toc175897209 \h </w:instrText>
        </w:r>
        <w:r w:rsidR="00095A57">
          <w:rPr>
            <w:webHidden/>
          </w:rPr>
        </w:r>
        <w:r w:rsidR="00095A57">
          <w:rPr>
            <w:webHidden/>
          </w:rPr>
          <w:fldChar w:fldCharType="separate"/>
        </w:r>
        <w:r w:rsidR="00095A57">
          <w:rPr>
            <w:webHidden/>
          </w:rPr>
          <w:t>12</w:t>
        </w:r>
        <w:r w:rsidR="00095A57">
          <w:rPr>
            <w:webHidden/>
          </w:rPr>
          <w:fldChar w:fldCharType="end"/>
        </w:r>
      </w:hyperlink>
    </w:p>
    <w:p w14:paraId="1BA51FE5" w14:textId="44809522" w:rsidR="00095A57" w:rsidRDefault="00997114">
      <w:pPr>
        <w:pStyle w:val="21"/>
        <w:tabs>
          <w:tab w:val="right" w:leader="dot" w:pos="9061"/>
        </w:tabs>
        <w:rPr>
          <w:rFonts w:ascii="Calibri" w:hAnsi="Calibri"/>
          <w:noProof/>
          <w:kern w:val="2"/>
        </w:rPr>
      </w:pPr>
      <w:hyperlink w:anchor="_Toc175897210" w:history="1">
        <w:r w:rsidR="00095A57" w:rsidRPr="0015580C">
          <w:rPr>
            <w:rStyle w:val="a3"/>
            <w:noProof/>
          </w:rPr>
          <w:t>УралБизнесКонсалтинг, 29.08.2024, В Свердловской области за I полугодие 2024 года опубликовано 3 тыс. вакансий с предложением корпоративной пенсионной программы</w:t>
        </w:r>
        <w:r w:rsidR="00095A57">
          <w:rPr>
            <w:noProof/>
            <w:webHidden/>
          </w:rPr>
          <w:tab/>
        </w:r>
        <w:r w:rsidR="00095A57">
          <w:rPr>
            <w:noProof/>
            <w:webHidden/>
          </w:rPr>
          <w:fldChar w:fldCharType="begin"/>
        </w:r>
        <w:r w:rsidR="00095A57">
          <w:rPr>
            <w:noProof/>
            <w:webHidden/>
          </w:rPr>
          <w:instrText xml:space="preserve"> PAGEREF _Toc175897210 \h </w:instrText>
        </w:r>
        <w:r w:rsidR="00095A57">
          <w:rPr>
            <w:noProof/>
            <w:webHidden/>
          </w:rPr>
        </w:r>
        <w:r w:rsidR="00095A57">
          <w:rPr>
            <w:noProof/>
            <w:webHidden/>
          </w:rPr>
          <w:fldChar w:fldCharType="separate"/>
        </w:r>
        <w:r w:rsidR="00095A57">
          <w:rPr>
            <w:noProof/>
            <w:webHidden/>
          </w:rPr>
          <w:t>13</w:t>
        </w:r>
        <w:r w:rsidR="00095A57">
          <w:rPr>
            <w:noProof/>
            <w:webHidden/>
          </w:rPr>
          <w:fldChar w:fldCharType="end"/>
        </w:r>
      </w:hyperlink>
    </w:p>
    <w:p w14:paraId="28C55E4C" w14:textId="4973A871" w:rsidR="00095A57" w:rsidRDefault="00997114">
      <w:pPr>
        <w:pStyle w:val="31"/>
        <w:rPr>
          <w:rFonts w:ascii="Calibri" w:hAnsi="Calibri"/>
          <w:kern w:val="2"/>
        </w:rPr>
      </w:pPr>
      <w:hyperlink w:anchor="_Toc175897211" w:history="1">
        <w:r w:rsidR="00095A57" w:rsidRPr="0015580C">
          <w:rPr>
            <w:rStyle w:val="a3"/>
          </w:rPr>
          <w:t>В Свердловской области за I полугодие 2024 года региональные компании опубликовали 3 тыс. вакансий, предлагающих корпоративную пенсионную программу (КПП) как мотивирующую льготу. Это на 40% больше аналогичных показателей 2023 года. Об этом говорится в исследовании, проведенном совместно с НПФ «Эволюция» российской платформой онлайн-рекрутинга hh.ru.</w:t>
        </w:r>
        <w:r w:rsidR="00095A57">
          <w:rPr>
            <w:webHidden/>
          </w:rPr>
          <w:tab/>
        </w:r>
        <w:r w:rsidR="00095A57">
          <w:rPr>
            <w:webHidden/>
          </w:rPr>
          <w:fldChar w:fldCharType="begin"/>
        </w:r>
        <w:r w:rsidR="00095A57">
          <w:rPr>
            <w:webHidden/>
          </w:rPr>
          <w:instrText xml:space="preserve"> PAGEREF _Toc175897211 \h </w:instrText>
        </w:r>
        <w:r w:rsidR="00095A57">
          <w:rPr>
            <w:webHidden/>
          </w:rPr>
        </w:r>
        <w:r w:rsidR="00095A57">
          <w:rPr>
            <w:webHidden/>
          </w:rPr>
          <w:fldChar w:fldCharType="separate"/>
        </w:r>
        <w:r w:rsidR="00095A57">
          <w:rPr>
            <w:webHidden/>
          </w:rPr>
          <w:t>13</w:t>
        </w:r>
        <w:r w:rsidR="00095A57">
          <w:rPr>
            <w:webHidden/>
          </w:rPr>
          <w:fldChar w:fldCharType="end"/>
        </w:r>
      </w:hyperlink>
    </w:p>
    <w:p w14:paraId="36BF55BD" w14:textId="56098258" w:rsidR="00095A57" w:rsidRDefault="00997114">
      <w:pPr>
        <w:pStyle w:val="21"/>
        <w:tabs>
          <w:tab w:val="right" w:leader="dot" w:pos="9061"/>
        </w:tabs>
        <w:rPr>
          <w:rFonts w:ascii="Calibri" w:hAnsi="Calibri"/>
          <w:noProof/>
          <w:kern w:val="2"/>
        </w:rPr>
      </w:pPr>
      <w:hyperlink w:anchor="_Toc175897212" w:history="1">
        <w:r w:rsidR="00095A57" w:rsidRPr="0015580C">
          <w:rPr>
            <w:rStyle w:val="a3"/>
            <w:noProof/>
          </w:rPr>
          <w:t>Телеинформ (Иркутск), 29.08.2024, В Иркутской области стали чаще мотивировать кандидатов корпоративной пенсией</w:t>
        </w:r>
        <w:r w:rsidR="00095A57">
          <w:rPr>
            <w:noProof/>
            <w:webHidden/>
          </w:rPr>
          <w:tab/>
        </w:r>
        <w:r w:rsidR="00095A57">
          <w:rPr>
            <w:noProof/>
            <w:webHidden/>
          </w:rPr>
          <w:fldChar w:fldCharType="begin"/>
        </w:r>
        <w:r w:rsidR="00095A57">
          <w:rPr>
            <w:noProof/>
            <w:webHidden/>
          </w:rPr>
          <w:instrText xml:space="preserve"> PAGEREF _Toc175897212 \h </w:instrText>
        </w:r>
        <w:r w:rsidR="00095A57">
          <w:rPr>
            <w:noProof/>
            <w:webHidden/>
          </w:rPr>
        </w:r>
        <w:r w:rsidR="00095A57">
          <w:rPr>
            <w:noProof/>
            <w:webHidden/>
          </w:rPr>
          <w:fldChar w:fldCharType="separate"/>
        </w:r>
        <w:r w:rsidR="00095A57">
          <w:rPr>
            <w:noProof/>
            <w:webHidden/>
          </w:rPr>
          <w:t>14</w:t>
        </w:r>
        <w:r w:rsidR="00095A57">
          <w:rPr>
            <w:noProof/>
            <w:webHidden/>
          </w:rPr>
          <w:fldChar w:fldCharType="end"/>
        </w:r>
      </w:hyperlink>
    </w:p>
    <w:p w14:paraId="6548FC1D" w14:textId="08551794" w:rsidR="00095A57" w:rsidRDefault="00997114">
      <w:pPr>
        <w:pStyle w:val="31"/>
        <w:rPr>
          <w:rFonts w:ascii="Calibri" w:hAnsi="Calibri"/>
          <w:kern w:val="2"/>
        </w:rPr>
      </w:pPr>
      <w:hyperlink w:anchor="_Toc175897213" w:history="1">
        <w:r w:rsidR="00095A57" w:rsidRPr="0015580C">
          <w:rPr>
            <w:rStyle w:val="a3"/>
          </w:rPr>
          <w:t>Совместное исследование платформы онлайн-рекрутинга hh.ru и НПФ «Эволюция» демонстрирует постепенный рост упоминаемости корпоративных пенсионных программ (КПП) в соцпакетах вакансий, предлагаемых работодателями Иркутской области.</w:t>
        </w:r>
        <w:r w:rsidR="00095A57">
          <w:rPr>
            <w:webHidden/>
          </w:rPr>
          <w:tab/>
        </w:r>
        <w:r w:rsidR="00095A57">
          <w:rPr>
            <w:webHidden/>
          </w:rPr>
          <w:fldChar w:fldCharType="begin"/>
        </w:r>
        <w:r w:rsidR="00095A57">
          <w:rPr>
            <w:webHidden/>
          </w:rPr>
          <w:instrText xml:space="preserve"> PAGEREF _Toc175897213 \h </w:instrText>
        </w:r>
        <w:r w:rsidR="00095A57">
          <w:rPr>
            <w:webHidden/>
          </w:rPr>
        </w:r>
        <w:r w:rsidR="00095A57">
          <w:rPr>
            <w:webHidden/>
          </w:rPr>
          <w:fldChar w:fldCharType="separate"/>
        </w:r>
        <w:r w:rsidR="00095A57">
          <w:rPr>
            <w:webHidden/>
          </w:rPr>
          <w:t>14</w:t>
        </w:r>
        <w:r w:rsidR="00095A57">
          <w:rPr>
            <w:webHidden/>
          </w:rPr>
          <w:fldChar w:fldCharType="end"/>
        </w:r>
      </w:hyperlink>
    </w:p>
    <w:p w14:paraId="3BFCD72D" w14:textId="5DE5E55E" w:rsidR="00095A57" w:rsidRDefault="00997114">
      <w:pPr>
        <w:pStyle w:val="12"/>
        <w:tabs>
          <w:tab w:val="right" w:leader="dot" w:pos="9061"/>
        </w:tabs>
        <w:rPr>
          <w:rFonts w:ascii="Calibri" w:hAnsi="Calibri"/>
          <w:b w:val="0"/>
          <w:noProof/>
          <w:kern w:val="2"/>
          <w:sz w:val="24"/>
        </w:rPr>
      </w:pPr>
      <w:hyperlink w:anchor="_Toc175897214" w:history="1">
        <w:r w:rsidR="00095A57" w:rsidRPr="0015580C">
          <w:rPr>
            <w:rStyle w:val="a3"/>
            <w:noProof/>
          </w:rPr>
          <w:t>Программа долгосрочных сбережений</w:t>
        </w:r>
        <w:r w:rsidR="00095A57">
          <w:rPr>
            <w:noProof/>
            <w:webHidden/>
          </w:rPr>
          <w:tab/>
        </w:r>
        <w:r w:rsidR="00095A57">
          <w:rPr>
            <w:noProof/>
            <w:webHidden/>
          </w:rPr>
          <w:fldChar w:fldCharType="begin"/>
        </w:r>
        <w:r w:rsidR="00095A57">
          <w:rPr>
            <w:noProof/>
            <w:webHidden/>
          </w:rPr>
          <w:instrText xml:space="preserve"> PAGEREF _Toc175897214 \h </w:instrText>
        </w:r>
        <w:r w:rsidR="00095A57">
          <w:rPr>
            <w:noProof/>
            <w:webHidden/>
          </w:rPr>
        </w:r>
        <w:r w:rsidR="00095A57">
          <w:rPr>
            <w:noProof/>
            <w:webHidden/>
          </w:rPr>
          <w:fldChar w:fldCharType="separate"/>
        </w:r>
        <w:r w:rsidR="00095A57">
          <w:rPr>
            <w:noProof/>
            <w:webHidden/>
          </w:rPr>
          <w:t>15</w:t>
        </w:r>
        <w:r w:rsidR="00095A57">
          <w:rPr>
            <w:noProof/>
            <w:webHidden/>
          </w:rPr>
          <w:fldChar w:fldCharType="end"/>
        </w:r>
      </w:hyperlink>
    </w:p>
    <w:p w14:paraId="6DD7AFBD" w14:textId="7E307C87" w:rsidR="00095A57" w:rsidRDefault="00997114">
      <w:pPr>
        <w:pStyle w:val="21"/>
        <w:tabs>
          <w:tab w:val="right" w:leader="dot" w:pos="9061"/>
        </w:tabs>
        <w:rPr>
          <w:rFonts w:ascii="Calibri" w:hAnsi="Calibri"/>
          <w:noProof/>
          <w:kern w:val="2"/>
        </w:rPr>
      </w:pPr>
      <w:hyperlink w:anchor="_Toc175897215" w:history="1">
        <w:r w:rsidR="00095A57" w:rsidRPr="0015580C">
          <w:rPr>
            <w:rStyle w:val="a3"/>
            <w:noProof/>
          </w:rPr>
          <w:t>Коммерсантъ, 30.08.2024, Полина ТРИФОНОВА, НПФ ждут новых денег</w:t>
        </w:r>
        <w:r w:rsidR="00095A57">
          <w:rPr>
            <w:noProof/>
            <w:webHidden/>
          </w:rPr>
          <w:tab/>
        </w:r>
        <w:r w:rsidR="00095A57">
          <w:rPr>
            <w:noProof/>
            <w:webHidden/>
          </w:rPr>
          <w:fldChar w:fldCharType="begin"/>
        </w:r>
        <w:r w:rsidR="00095A57">
          <w:rPr>
            <w:noProof/>
            <w:webHidden/>
          </w:rPr>
          <w:instrText xml:space="preserve"> PAGEREF _Toc175897215 \h </w:instrText>
        </w:r>
        <w:r w:rsidR="00095A57">
          <w:rPr>
            <w:noProof/>
            <w:webHidden/>
          </w:rPr>
        </w:r>
        <w:r w:rsidR="00095A57">
          <w:rPr>
            <w:noProof/>
            <w:webHidden/>
          </w:rPr>
          <w:fldChar w:fldCharType="separate"/>
        </w:r>
        <w:r w:rsidR="00095A57">
          <w:rPr>
            <w:noProof/>
            <w:webHidden/>
          </w:rPr>
          <w:t>15</w:t>
        </w:r>
        <w:r w:rsidR="00095A57">
          <w:rPr>
            <w:noProof/>
            <w:webHidden/>
          </w:rPr>
          <w:fldChar w:fldCharType="end"/>
        </w:r>
      </w:hyperlink>
    </w:p>
    <w:p w14:paraId="067DD010" w14:textId="790DCB3E" w:rsidR="00095A57" w:rsidRDefault="00997114">
      <w:pPr>
        <w:pStyle w:val="31"/>
        <w:rPr>
          <w:rFonts w:ascii="Calibri" w:hAnsi="Calibri"/>
          <w:kern w:val="2"/>
        </w:rPr>
      </w:pPr>
      <w:hyperlink w:anchor="_Toc175897216" w:history="1">
        <w:r w:rsidR="00095A57" w:rsidRPr="0015580C">
          <w:rPr>
            <w:rStyle w:val="a3"/>
          </w:rPr>
          <w:t>Во втором квартале текущего года на фоне высокой волатильности на рынке и отрицательной переоценки активов негосударственные пенсионные фонды (НПФ) предпочитали инструменты денежного рынка вложениям в депозиты. Учитывая жесткую риторику ЦБ, во втором полугодии они продолжат вкладываться в более краткосрочные и более маржинальные инструменты. Впрочем, куда больше отрасль обеспокоена привлечением новых денег в программу долгосрочных сбережений (ПДС).</w:t>
        </w:r>
        <w:r w:rsidR="00095A57">
          <w:rPr>
            <w:webHidden/>
          </w:rPr>
          <w:tab/>
        </w:r>
        <w:r w:rsidR="00095A57">
          <w:rPr>
            <w:webHidden/>
          </w:rPr>
          <w:fldChar w:fldCharType="begin"/>
        </w:r>
        <w:r w:rsidR="00095A57">
          <w:rPr>
            <w:webHidden/>
          </w:rPr>
          <w:instrText xml:space="preserve"> PAGEREF _Toc175897216 \h </w:instrText>
        </w:r>
        <w:r w:rsidR="00095A57">
          <w:rPr>
            <w:webHidden/>
          </w:rPr>
        </w:r>
        <w:r w:rsidR="00095A57">
          <w:rPr>
            <w:webHidden/>
          </w:rPr>
          <w:fldChar w:fldCharType="separate"/>
        </w:r>
        <w:r w:rsidR="00095A57">
          <w:rPr>
            <w:webHidden/>
          </w:rPr>
          <w:t>15</w:t>
        </w:r>
        <w:r w:rsidR="00095A57">
          <w:rPr>
            <w:webHidden/>
          </w:rPr>
          <w:fldChar w:fldCharType="end"/>
        </w:r>
      </w:hyperlink>
    </w:p>
    <w:p w14:paraId="23A3A698" w14:textId="015553E7" w:rsidR="00095A57" w:rsidRDefault="00997114">
      <w:pPr>
        <w:pStyle w:val="21"/>
        <w:tabs>
          <w:tab w:val="right" w:leader="dot" w:pos="9061"/>
        </w:tabs>
        <w:rPr>
          <w:rFonts w:ascii="Calibri" w:hAnsi="Calibri"/>
          <w:noProof/>
          <w:kern w:val="2"/>
        </w:rPr>
      </w:pPr>
      <w:hyperlink w:anchor="_Toc175897217" w:history="1">
        <w:r w:rsidR="00095A57" w:rsidRPr="0015580C">
          <w:rPr>
            <w:rStyle w:val="a3"/>
            <w:noProof/>
          </w:rPr>
          <w:t>Парламентская газета, 29.08.2024, ЦБ: Число участников программы долгосрочных сбережений выросло до 1 млн</w:t>
        </w:r>
        <w:r w:rsidR="00095A57">
          <w:rPr>
            <w:noProof/>
            <w:webHidden/>
          </w:rPr>
          <w:tab/>
        </w:r>
        <w:r w:rsidR="00095A57">
          <w:rPr>
            <w:noProof/>
            <w:webHidden/>
          </w:rPr>
          <w:fldChar w:fldCharType="begin"/>
        </w:r>
        <w:r w:rsidR="00095A57">
          <w:rPr>
            <w:noProof/>
            <w:webHidden/>
          </w:rPr>
          <w:instrText xml:space="preserve"> PAGEREF _Toc175897217 \h </w:instrText>
        </w:r>
        <w:r w:rsidR="00095A57">
          <w:rPr>
            <w:noProof/>
            <w:webHidden/>
          </w:rPr>
        </w:r>
        <w:r w:rsidR="00095A57">
          <w:rPr>
            <w:noProof/>
            <w:webHidden/>
          </w:rPr>
          <w:fldChar w:fldCharType="separate"/>
        </w:r>
        <w:r w:rsidR="00095A57">
          <w:rPr>
            <w:noProof/>
            <w:webHidden/>
          </w:rPr>
          <w:t>16</w:t>
        </w:r>
        <w:r w:rsidR="00095A57">
          <w:rPr>
            <w:noProof/>
            <w:webHidden/>
          </w:rPr>
          <w:fldChar w:fldCharType="end"/>
        </w:r>
      </w:hyperlink>
    </w:p>
    <w:p w14:paraId="583AD236" w14:textId="7920BA00" w:rsidR="00095A57" w:rsidRDefault="00997114">
      <w:pPr>
        <w:pStyle w:val="31"/>
        <w:rPr>
          <w:rFonts w:ascii="Calibri" w:hAnsi="Calibri"/>
          <w:kern w:val="2"/>
        </w:rPr>
      </w:pPr>
      <w:hyperlink w:anchor="_Toc175897218" w:history="1">
        <w:r w:rsidR="00095A57" w:rsidRPr="0015580C">
          <w:rPr>
            <w:rStyle w:val="a3"/>
          </w:rPr>
          <w:t>Число участников программы долгосрочных сбережений за апрель-июнь удвоилось, а середине августа превысило 1 миллион. Это следует из Обзора ключевых показателей негосударственных пенсионных фондов, опубликованного Банком России 29 августа.</w:t>
        </w:r>
        <w:r w:rsidR="00095A57">
          <w:rPr>
            <w:webHidden/>
          </w:rPr>
          <w:tab/>
        </w:r>
        <w:r w:rsidR="00095A57">
          <w:rPr>
            <w:webHidden/>
          </w:rPr>
          <w:fldChar w:fldCharType="begin"/>
        </w:r>
        <w:r w:rsidR="00095A57">
          <w:rPr>
            <w:webHidden/>
          </w:rPr>
          <w:instrText xml:space="preserve"> PAGEREF _Toc175897218 \h </w:instrText>
        </w:r>
        <w:r w:rsidR="00095A57">
          <w:rPr>
            <w:webHidden/>
          </w:rPr>
        </w:r>
        <w:r w:rsidR="00095A57">
          <w:rPr>
            <w:webHidden/>
          </w:rPr>
          <w:fldChar w:fldCharType="separate"/>
        </w:r>
        <w:r w:rsidR="00095A57">
          <w:rPr>
            <w:webHidden/>
          </w:rPr>
          <w:t>16</w:t>
        </w:r>
        <w:r w:rsidR="00095A57">
          <w:rPr>
            <w:webHidden/>
          </w:rPr>
          <w:fldChar w:fldCharType="end"/>
        </w:r>
      </w:hyperlink>
    </w:p>
    <w:p w14:paraId="639F35E9" w14:textId="0BDA96F8" w:rsidR="00095A57" w:rsidRDefault="00997114">
      <w:pPr>
        <w:pStyle w:val="21"/>
        <w:tabs>
          <w:tab w:val="right" w:leader="dot" w:pos="9061"/>
        </w:tabs>
        <w:rPr>
          <w:rFonts w:ascii="Calibri" w:hAnsi="Calibri"/>
          <w:noProof/>
          <w:kern w:val="2"/>
        </w:rPr>
      </w:pPr>
      <w:hyperlink w:anchor="_Toc175897219" w:history="1">
        <w:r w:rsidR="00095A57" w:rsidRPr="0015580C">
          <w:rPr>
            <w:rStyle w:val="a3"/>
            <w:noProof/>
          </w:rPr>
          <w:t>Пенсия.pro, 29.08.2024, Светлана ЗАГОРОДНЕВА, Когда накопительную пенсию не стоит переводить в ПДС</w:t>
        </w:r>
        <w:r w:rsidR="00095A57">
          <w:rPr>
            <w:noProof/>
            <w:webHidden/>
          </w:rPr>
          <w:tab/>
        </w:r>
        <w:r w:rsidR="00095A57">
          <w:rPr>
            <w:noProof/>
            <w:webHidden/>
          </w:rPr>
          <w:fldChar w:fldCharType="begin"/>
        </w:r>
        <w:r w:rsidR="00095A57">
          <w:rPr>
            <w:noProof/>
            <w:webHidden/>
          </w:rPr>
          <w:instrText xml:space="preserve"> PAGEREF _Toc175897219 \h </w:instrText>
        </w:r>
        <w:r w:rsidR="00095A57">
          <w:rPr>
            <w:noProof/>
            <w:webHidden/>
          </w:rPr>
        </w:r>
        <w:r w:rsidR="00095A57">
          <w:rPr>
            <w:noProof/>
            <w:webHidden/>
          </w:rPr>
          <w:fldChar w:fldCharType="separate"/>
        </w:r>
        <w:r w:rsidR="00095A57">
          <w:rPr>
            <w:noProof/>
            <w:webHidden/>
          </w:rPr>
          <w:t>17</w:t>
        </w:r>
        <w:r w:rsidR="00095A57">
          <w:rPr>
            <w:noProof/>
            <w:webHidden/>
          </w:rPr>
          <w:fldChar w:fldCharType="end"/>
        </w:r>
      </w:hyperlink>
    </w:p>
    <w:p w14:paraId="6DE412BE" w14:textId="3178F7DE" w:rsidR="00095A57" w:rsidRDefault="00997114">
      <w:pPr>
        <w:pStyle w:val="31"/>
        <w:rPr>
          <w:rFonts w:ascii="Calibri" w:hAnsi="Calibri"/>
          <w:kern w:val="2"/>
        </w:rPr>
      </w:pPr>
      <w:hyperlink w:anchor="_Toc175897220" w:history="1">
        <w:r w:rsidR="00095A57" w:rsidRPr="0015580C">
          <w:rPr>
            <w:rStyle w:val="a3"/>
          </w:rPr>
          <w:t>Два очевидных плюса программы долгосрочных сбережений — софинансирование от государства и возможность получить налоговый вычет. Есть и третий, на этот счет можно перевести свою накопительную часть пенсии, забрать деньги у государства, сделать их своими и получать на них процент от инвестиций. Но есть случаи, когда лучше накопления не трогать. Объясняем на конкретных примерах.</w:t>
        </w:r>
        <w:r w:rsidR="00095A57">
          <w:rPr>
            <w:webHidden/>
          </w:rPr>
          <w:tab/>
        </w:r>
        <w:r w:rsidR="00095A57">
          <w:rPr>
            <w:webHidden/>
          </w:rPr>
          <w:fldChar w:fldCharType="begin"/>
        </w:r>
        <w:r w:rsidR="00095A57">
          <w:rPr>
            <w:webHidden/>
          </w:rPr>
          <w:instrText xml:space="preserve"> PAGEREF _Toc175897220 \h </w:instrText>
        </w:r>
        <w:r w:rsidR="00095A57">
          <w:rPr>
            <w:webHidden/>
          </w:rPr>
        </w:r>
        <w:r w:rsidR="00095A57">
          <w:rPr>
            <w:webHidden/>
          </w:rPr>
          <w:fldChar w:fldCharType="separate"/>
        </w:r>
        <w:r w:rsidR="00095A57">
          <w:rPr>
            <w:webHidden/>
          </w:rPr>
          <w:t>17</w:t>
        </w:r>
        <w:r w:rsidR="00095A57">
          <w:rPr>
            <w:webHidden/>
          </w:rPr>
          <w:fldChar w:fldCharType="end"/>
        </w:r>
      </w:hyperlink>
    </w:p>
    <w:p w14:paraId="61B000D4" w14:textId="291F24C1" w:rsidR="00095A57" w:rsidRDefault="00997114">
      <w:pPr>
        <w:pStyle w:val="21"/>
        <w:tabs>
          <w:tab w:val="right" w:leader="dot" w:pos="9061"/>
        </w:tabs>
        <w:rPr>
          <w:rFonts w:ascii="Calibri" w:hAnsi="Calibri"/>
          <w:noProof/>
          <w:kern w:val="2"/>
        </w:rPr>
      </w:pPr>
      <w:hyperlink w:anchor="_Toc175897221" w:history="1">
        <w:r w:rsidR="00095A57" w:rsidRPr="0015580C">
          <w:rPr>
            <w:rStyle w:val="a3"/>
            <w:noProof/>
          </w:rPr>
          <w:t>НАПФ, 29.08.2024, Работники образования чаще других заключают договор ПДС - НАПФ</w:t>
        </w:r>
        <w:r w:rsidR="00095A57">
          <w:rPr>
            <w:noProof/>
            <w:webHidden/>
          </w:rPr>
          <w:tab/>
        </w:r>
        <w:r w:rsidR="00095A57">
          <w:rPr>
            <w:noProof/>
            <w:webHidden/>
          </w:rPr>
          <w:fldChar w:fldCharType="begin"/>
        </w:r>
        <w:r w:rsidR="00095A57">
          <w:rPr>
            <w:noProof/>
            <w:webHidden/>
          </w:rPr>
          <w:instrText xml:space="preserve"> PAGEREF _Toc175897221 \h </w:instrText>
        </w:r>
        <w:r w:rsidR="00095A57">
          <w:rPr>
            <w:noProof/>
            <w:webHidden/>
          </w:rPr>
        </w:r>
        <w:r w:rsidR="00095A57">
          <w:rPr>
            <w:noProof/>
            <w:webHidden/>
          </w:rPr>
          <w:fldChar w:fldCharType="separate"/>
        </w:r>
        <w:r w:rsidR="00095A57">
          <w:rPr>
            <w:noProof/>
            <w:webHidden/>
          </w:rPr>
          <w:t>22</w:t>
        </w:r>
        <w:r w:rsidR="00095A57">
          <w:rPr>
            <w:noProof/>
            <w:webHidden/>
          </w:rPr>
          <w:fldChar w:fldCharType="end"/>
        </w:r>
      </w:hyperlink>
    </w:p>
    <w:p w14:paraId="381C9DF5" w14:textId="2C1F8F27" w:rsidR="00095A57" w:rsidRDefault="00997114">
      <w:pPr>
        <w:pStyle w:val="31"/>
        <w:rPr>
          <w:rFonts w:ascii="Calibri" w:hAnsi="Calibri"/>
          <w:kern w:val="2"/>
        </w:rPr>
      </w:pPr>
      <w:hyperlink w:anchor="_Toc175897222" w:history="1">
        <w:r w:rsidR="00095A57" w:rsidRPr="0015580C">
          <w:rPr>
            <w:rStyle w:val="a3"/>
          </w:rPr>
          <w:t>Наибольший спрос на заключение договоров в рамках программы долгосрочных сбережений (ПДС) наблюдается со стороны работников образования. Их среди заключивших договоры 36 %, заявил вице-президент Национальной ассоциации негосударственных пенсионных фондов Алексей Денисов.</w:t>
        </w:r>
        <w:r w:rsidR="00095A57">
          <w:rPr>
            <w:webHidden/>
          </w:rPr>
          <w:tab/>
        </w:r>
        <w:r w:rsidR="00095A57">
          <w:rPr>
            <w:webHidden/>
          </w:rPr>
          <w:fldChar w:fldCharType="begin"/>
        </w:r>
        <w:r w:rsidR="00095A57">
          <w:rPr>
            <w:webHidden/>
          </w:rPr>
          <w:instrText xml:space="preserve"> PAGEREF _Toc175897222 \h </w:instrText>
        </w:r>
        <w:r w:rsidR="00095A57">
          <w:rPr>
            <w:webHidden/>
          </w:rPr>
        </w:r>
        <w:r w:rsidR="00095A57">
          <w:rPr>
            <w:webHidden/>
          </w:rPr>
          <w:fldChar w:fldCharType="separate"/>
        </w:r>
        <w:r w:rsidR="00095A57">
          <w:rPr>
            <w:webHidden/>
          </w:rPr>
          <w:t>22</w:t>
        </w:r>
        <w:r w:rsidR="00095A57">
          <w:rPr>
            <w:webHidden/>
          </w:rPr>
          <w:fldChar w:fldCharType="end"/>
        </w:r>
      </w:hyperlink>
    </w:p>
    <w:p w14:paraId="3CE48AC8" w14:textId="72CBF4E7" w:rsidR="00095A57" w:rsidRDefault="00997114">
      <w:pPr>
        <w:pStyle w:val="21"/>
        <w:tabs>
          <w:tab w:val="right" w:leader="dot" w:pos="9061"/>
        </w:tabs>
        <w:rPr>
          <w:rFonts w:ascii="Calibri" w:hAnsi="Calibri"/>
          <w:noProof/>
          <w:kern w:val="2"/>
        </w:rPr>
      </w:pPr>
      <w:hyperlink w:anchor="_Toc175897223" w:history="1">
        <w:r w:rsidR="00095A57" w:rsidRPr="0015580C">
          <w:rPr>
            <w:rStyle w:val="a3"/>
            <w:noProof/>
          </w:rPr>
          <w:t>Блокнот, 29.08.2024, «Почему я не пришла раньше, я бы сэкономила кучу денег»: в Москве завершается неделя финансовой грамотности</w:t>
        </w:r>
        <w:r w:rsidR="00095A57">
          <w:rPr>
            <w:noProof/>
            <w:webHidden/>
          </w:rPr>
          <w:tab/>
        </w:r>
        <w:r w:rsidR="00095A57">
          <w:rPr>
            <w:noProof/>
            <w:webHidden/>
          </w:rPr>
          <w:fldChar w:fldCharType="begin"/>
        </w:r>
        <w:r w:rsidR="00095A57">
          <w:rPr>
            <w:noProof/>
            <w:webHidden/>
          </w:rPr>
          <w:instrText xml:space="preserve"> PAGEREF _Toc175897223 \h </w:instrText>
        </w:r>
        <w:r w:rsidR="00095A57">
          <w:rPr>
            <w:noProof/>
            <w:webHidden/>
          </w:rPr>
        </w:r>
        <w:r w:rsidR="00095A57">
          <w:rPr>
            <w:noProof/>
            <w:webHidden/>
          </w:rPr>
          <w:fldChar w:fldCharType="separate"/>
        </w:r>
        <w:r w:rsidR="00095A57">
          <w:rPr>
            <w:noProof/>
            <w:webHidden/>
          </w:rPr>
          <w:t>23</w:t>
        </w:r>
        <w:r w:rsidR="00095A57">
          <w:rPr>
            <w:noProof/>
            <w:webHidden/>
          </w:rPr>
          <w:fldChar w:fldCharType="end"/>
        </w:r>
      </w:hyperlink>
    </w:p>
    <w:p w14:paraId="26ACFF23" w14:textId="0EF06A41" w:rsidR="00095A57" w:rsidRDefault="00997114">
      <w:pPr>
        <w:pStyle w:val="31"/>
        <w:rPr>
          <w:rFonts w:ascii="Calibri" w:hAnsi="Calibri"/>
          <w:kern w:val="2"/>
        </w:rPr>
      </w:pPr>
      <w:hyperlink w:anchor="_Toc175897224" w:history="1">
        <w:r w:rsidR="00095A57" w:rsidRPr="0015580C">
          <w:rPr>
            <w:rStyle w:val="a3"/>
          </w:rPr>
          <w:t>С 23 по 29 августа 2024 года в рамках форума-фестиваля «Территория будущего. Москва 2030» в парке «Зарядье» состоялось мероприятие, направленное на повышение уровня финансовой грамотности среди граждан.</w:t>
        </w:r>
        <w:r w:rsidR="00095A57">
          <w:rPr>
            <w:webHidden/>
          </w:rPr>
          <w:tab/>
        </w:r>
        <w:r w:rsidR="00095A57">
          <w:rPr>
            <w:webHidden/>
          </w:rPr>
          <w:fldChar w:fldCharType="begin"/>
        </w:r>
        <w:r w:rsidR="00095A57">
          <w:rPr>
            <w:webHidden/>
          </w:rPr>
          <w:instrText xml:space="preserve"> PAGEREF _Toc175897224 \h </w:instrText>
        </w:r>
        <w:r w:rsidR="00095A57">
          <w:rPr>
            <w:webHidden/>
          </w:rPr>
        </w:r>
        <w:r w:rsidR="00095A57">
          <w:rPr>
            <w:webHidden/>
          </w:rPr>
          <w:fldChar w:fldCharType="separate"/>
        </w:r>
        <w:r w:rsidR="00095A57">
          <w:rPr>
            <w:webHidden/>
          </w:rPr>
          <w:t>23</w:t>
        </w:r>
        <w:r w:rsidR="00095A57">
          <w:rPr>
            <w:webHidden/>
          </w:rPr>
          <w:fldChar w:fldCharType="end"/>
        </w:r>
      </w:hyperlink>
    </w:p>
    <w:p w14:paraId="55C4AB71" w14:textId="25AB2169" w:rsidR="00095A57" w:rsidRDefault="00997114">
      <w:pPr>
        <w:pStyle w:val="21"/>
        <w:tabs>
          <w:tab w:val="right" w:leader="dot" w:pos="9061"/>
        </w:tabs>
        <w:rPr>
          <w:rFonts w:ascii="Calibri" w:hAnsi="Calibri"/>
          <w:noProof/>
          <w:kern w:val="2"/>
        </w:rPr>
      </w:pPr>
      <w:hyperlink w:anchor="_Toc175897225" w:history="1">
        <w:r w:rsidR="00095A57" w:rsidRPr="0015580C">
          <w:rPr>
            <w:rStyle w:val="a3"/>
            <w:noProof/>
          </w:rPr>
          <w:t>Эксперт-Урал, 29.08.2024, Свердловчане отложили через программу долгосрочных сбережений полмиллиарда</w:t>
        </w:r>
        <w:r w:rsidR="00095A57">
          <w:rPr>
            <w:noProof/>
            <w:webHidden/>
          </w:rPr>
          <w:tab/>
        </w:r>
        <w:r w:rsidR="00095A57">
          <w:rPr>
            <w:noProof/>
            <w:webHidden/>
          </w:rPr>
          <w:fldChar w:fldCharType="begin"/>
        </w:r>
        <w:r w:rsidR="00095A57">
          <w:rPr>
            <w:noProof/>
            <w:webHidden/>
          </w:rPr>
          <w:instrText xml:space="preserve"> PAGEREF _Toc175897225 \h </w:instrText>
        </w:r>
        <w:r w:rsidR="00095A57">
          <w:rPr>
            <w:noProof/>
            <w:webHidden/>
          </w:rPr>
        </w:r>
        <w:r w:rsidR="00095A57">
          <w:rPr>
            <w:noProof/>
            <w:webHidden/>
          </w:rPr>
          <w:fldChar w:fldCharType="separate"/>
        </w:r>
        <w:r w:rsidR="00095A57">
          <w:rPr>
            <w:noProof/>
            <w:webHidden/>
          </w:rPr>
          <w:t>24</w:t>
        </w:r>
        <w:r w:rsidR="00095A57">
          <w:rPr>
            <w:noProof/>
            <w:webHidden/>
          </w:rPr>
          <w:fldChar w:fldCharType="end"/>
        </w:r>
      </w:hyperlink>
    </w:p>
    <w:p w14:paraId="74F2040F" w14:textId="27250204" w:rsidR="00095A57" w:rsidRDefault="00997114">
      <w:pPr>
        <w:pStyle w:val="31"/>
        <w:rPr>
          <w:rFonts w:ascii="Calibri" w:hAnsi="Calibri"/>
          <w:kern w:val="2"/>
        </w:rPr>
      </w:pPr>
      <w:hyperlink w:anchor="_Toc175897226" w:history="1">
        <w:r w:rsidR="00095A57" w:rsidRPr="0015580C">
          <w:rPr>
            <w:rStyle w:val="a3"/>
          </w:rPr>
          <w:t>В Свердловской области подвели первые итоги реализации программы долгосрочных сбережений (ДПС). Подробности — в материале «Эксперт-Урал».</w:t>
        </w:r>
        <w:r w:rsidR="00095A57">
          <w:rPr>
            <w:webHidden/>
          </w:rPr>
          <w:tab/>
        </w:r>
        <w:r w:rsidR="00095A57">
          <w:rPr>
            <w:webHidden/>
          </w:rPr>
          <w:fldChar w:fldCharType="begin"/>
        </w:r>
        <w:r w:rsidR="00095A57">
          <w:rPr>
            <w:webHidden/>
          </w:rPr>
          <w:instrText xml:space="preserve"> PAGEREF _Toc175897226 \h </w:instrText>
        </w:r>
        <w:r w:rsidR="00095A57">
          <w:rPr>
            <w:webHidden/>
          </w:rPr>
        </w:r>
        <w:r w:rsidR="00095A57">
          <w:rPr>
            <w:webHidden/>
          </w:rPr>
          <w:fldChar w:fldCharType="separate"/>
        </w:r>
        <w:r w:rsidR="00095A57">
          <w:rPr>
            <w:webHidden/>
          </w:rPr>
          <w:t>24</w:t>
        </w:r>
        <w:r w:rsidR="00095A57">
          <w:rPr>
            <w:webHidden/>
          </w:rPr>
          <w:fldChar w:fldCharType="end"/>
        </w:r>
      </w:hyperlink>
    </w:p>
    <w:p w14:paraId="0392B6E1" w14:textId="1C6D852F" w:rsidR="00095A57" w:rsidRDefault="00997114">
      <w:pPr>
        <w:pStyle w:val="21"/>
        <w:tabs>
          <w:tab w:val="right" w:leader="dot" w:pos="9061"/>
        </w:tabs>
        <w:rPr>
          <w:rFonts w:ascii="Calibri" w:hAnsi="Calibri"/>
          <w:noProof/>
          <w:kern w:val="2"/>
        </w:rPr>
      </w:pPr>
      <w:hyperlink w:anchor="_Toc175897227" w:history="1">
        <w:r w:rsidR="00095A57" w:rsidRPr="0015580C">
          <w:rPr>
            <w:rStyle w:val="a3"/>
            <w:noProof/>
          </w:rPr>
          <w:t>АБН24, 29.08.2024, Сумма договоров по программе долгосрочных договоров на Кубани превысила 430 млн рублей</w:t>
        </w:r>
        <w:r w:rsidR="00095A57">
          <w:rPr>
            <w:noProof/>
            <w:webHidden/>
          </w:rPr>
          <w:tab/>
        </w:r>
        <w:r w:rsidR="00095A57">
          <w:rPr>
            <w:noProof/>
            <w:webHidden/>
          </w:rPr>
          <w:fldChar w:fldCharType="begin"/>
        </w:r>
        <w:r w:rsidR="00095A57">
          <w:rPr>
            <w:noProof/>
            <w:webHidden/>
          </w:rPr>
          <w:instrText xml:space="preserve"> PAGEREF _Toc175897227 \h </w:instrText>
        </w:r>
        <w:r w:rsidR="00095A57">
          <w:rPr>
            <w:noProof/>
            <w:webHidden/>
          </w:rPr>
        </w:r>
        <w:r w:rsidR="00095A57">
          <w:rPr>
            <w:noProof/>
            <w:webHidden/>
          </w:rPr>
          <w:fldChar w:fldCharType="separate"/>
        </w:r>
        <w:r w:rsidR="00095A57">
          <w:rPr>
            <w:noProof/>
            <w:webHidden/>
          </w:rPr>
          <w:t>25</w:t>
        </w:r>
        <w:r w:rsidR="00095A57">
          <w:rPr>
            <w:noProof/>
            <w:webHidden/>
          </w:rPr>
          <w:fldChar w:fldCharType="end"/>
        </w:r>
      </w:hyperlink>
    </w:p>
    <w:p w14:paraId="2E7E79EE" w14:textId="396A3F9E" w:rsidR="00095A57" w:rsidRDefault="00997114">
      <w:pPr>
        <w:pStyle w:val="31"/>
        <w:rPr>
          <w:rFonts w:ascii="Calibri" w:hAnsi="Calibri"/>
          <w:kern w:val="2"/>
        </w:rPr>
      </w:pPr>
      <w:hyperlink w:anchor="_Toc175897228" w:history="1">
        <w:r w:rsidR="00095A57" w:rsidRPr="0015580C">
          <w:rPr>
            <w:rStyle w:val="a3"/>
          </w:rPr>
          <w:t>Она начала работу с 1 января 2024 года. В нее вступили более 26 тыс. жителей края. Программа долгосрочных сбережений на Кубани показывает хорошие результаты. Как утверждают специалисты, она помогает накопить на крупную покупку с помощью государства.</w:t>
        </w:r>
        <w:r w:rsidR="00095A57">
          <w:rPr>
            <w:webHidden/>
          </w:rPr>
          <w:tab/>
        </w:r>
        <w:r w:rsidR="00095A57">
          <w:rPr>
            <w:webHidden/>
          </w:rPr>
          <w:fldChar w:fldCharType="begin"/>
        </w:r>
        <w:r w:rsidR="00095A57">
          <w:rPr>
            <w:webHidden/>
          </w:rPr>
          <w:instrText xml:space="preserve"> PAGEREF _Toc175897228 \h </w:instrText>
        </w:r>
        <w:r w:rsidR="00095A57">
          <w:rPr>
            <w:webHidden/>
          </w:rPr>
        </w:r>
        <w:r w:rsidR="00095A57">
          <w:rPr>
            <w:webHidden/>
          </w:rPr>
          <w:fldChar w:fldCharType="separate"/>
        </w:r>
        <w:r w:rsidR="00095A57">
          <w:rPr>
            <w:webHidden/>
          </w:rPr>
          <w:t>25</w:t>
        </w:r>
        <w:r w:rsidR="00095A57">
          <w:rPr>
            <w:webHidden/>
          </w:rPr>
          <w:fldChar w:fldCharType="end"/>
        </w:r>
      </w:hyperlink>
    </w:p>
    <w:p w14:paraId="45186F09" w14:textId="657D0EE1" w:rsidR="00095A57" w:rsidRDefault="00997114">
      <w:pPr>
        <w:pStyle w:val="12"/>
        <w:tabs>
          <w:tab w:val="right" w:leader="dot" w:pos="9061"/>
        </w:tabs>
        <w:rPr>
          <w:rFonts w:ascii="Calibri" w:hAnsi="Calibri"/>
          <w:b w:val="0"/>
          <w:noProof/>
          <w:kern w:val="2"/>
          <w:sz w:val="24"/>
        </w:rPr>
      </w:pPr>
      <w:hyperlink w:anchor="_Toc175897229" w:history="1">
        <w:r w:rsidR="00095A57" w:rsidRPr="0015580C">
          <w:rPr>
            <w:rStyle w:val="a3"/>
            <w:noProof/>
          </w:rPr>
          <w:t>Новости развития системы обязательного пенсионного страхования и страховой пенсии</w:t>
        </w:r>
        <w:r w:rsidR="00095A57">
          <w:rPr>
            <w:noProof/>
            <w:webHidden/>
          </w:rPr>
          <w:tab/>
        </w:r>
        <w:r w:rsidR="00095A57">
          <w:rPr>
            <w:noProof/>
            <w:webHidden/>
          </w:rPr>
          <w:fldChar w:fldCharType="begin"/>
        </w:r>
        <w:r w:rsidR="00095A57">
          <w:rPr>
            <w:noProof/>
            <w:webHidden/>
          </w:rPr>
          <w:instrText xml:space="preserve"> PAGEREF _Toc175897229 \h </w:instrText>
        </w:r>
        <w:r w:rsidR="00095A57">
          <w:rPr>
            <w:noProof/>
            <w:webHidden/>
          </w:rPr>
        </w:r>
        <w:r w:rsidR="00095A57">
          <w:rPr>
            <w:noProof/>
            <w:webHidden/>
          </w:rPr>
          <w:fldChar w:fldCharType="separate"/>
        </w:r>
        <w:r w:rsidR="00095A57">
          <w:rPr>
            <w:noProof/>
            <w:webHidden/>
          </w:rPr>
          <w:t>26</w:t>
        </w:r>
        <w:r w:rsidR="00095A57">
          <w:rPr>
            <w:noProof/>
            <w:webHidden/>
          </w:rPr>
          <w:fldChar w:fldCharType="end"/>
        </w:r>
      </w:hyperlink>
    </w:p>
    <w:p w14:paraId="5568825C" w14:textId="34AE9296" w:rsidR="00095A57" w:rsidRDefault="00997114">
      <w:pPr>
        <w:pStyle w:val="21"/>
        <w:tabs>
          <w:tab w:val="right" w:leader="dot" w:pos="9061"/>
        </w:tabs>
        <w:rPr>
          <w:rFonts w:ascii="Calibri" w:hAnsi="Calibri"/>
          <w:noProof/>
          <w:kern w:val="2"/>
        </w:rPr>
      </w:pPr>
      <w:hyperlink w:anchor="_Toc175897230" w:history="1">
        <w:r w:rsidR="00095A57" w:rsidRPr="0015580C">
          <w:rPr>
            <w:rStyle w:val="a3"/>
            <w:noProof/>
          </w:rPr>
          <w:t>РБК, 30.08.2024, Екатерина ВИНОГРАДОВА, Десятка без срока давности</w:t>
        </w:r>
        <w:r w:rsidR="00095A57">
          <w:rPr>
            <w:noProof/>
            <w:webHidden/>
          </w:rPr>
          <w:tab/>
        </w:r>
        <w:r w:rsidR="00095A57">
          <w:rPr>
            <w:noProof/>
            <w:webHidden/>
          </w:rPr>
          <w:fldChar w:fldCharType="begin"/>
        </w:r>
        <w:r w:rsidR="00095A57">
          <w:rPr>
            <w:noProof/>
            <w:webHidden/>
          </w:rPr>
          <w:instrText xml:space="preserve"> PAGEREF _Toc175897230 \h </w:instrText>
        </w:r>
        <w:r w:rsidR="00095A57">
          <w:rPr>
            <w:noProof/>
            <w:webHidden/>
          </w:rPr>
        </w:r>
        <w:r w:rsidR="00095A57">
          <w:rPr>
            <w:noProof/>
            <w:webHidden/>
          </w:rPr>
          <w:fldChar w:fldCharType="separate"/>
        </w:r>
        <w:r w:rsidR="00095A57">
          <w:rPr>
            <w:noProof/>
            <w:webHidden/>
          </w:rPr>
          <w:t>26</w:t>
        </w:r>
        <w:r w:rsidR="00095A57">
          <w:rPr>
            <w:noProof/>
            <w:webHidden/>
          </w:rPr>
          <w:fldChar w:fldCharType="end"/>
        </w:r>
      </w:hyperlink>
    </w:p>
    <w:p w14:paraId="255DF850" w14:textId="4B799A0D" w:rsidR="00095A57" w:rsidRDefault="00997114">
      <w:pPr>
        <w:pStyle w:val="31"/>
        <w:rPr>
          <w:rFonts w:ascii="Calibri" w:hAnsi="Calibri"/>
          <w:kern w:val="2"/>
        </w:rPr>
      </w:pPr>
      <w:hyperlink w:anchor="_Toc175897231" w:history="1">
        <w:r w:rsidR="00095A57" w:rsidRPr="0015580C">
          <w:rPr>
            <w:rStyle w:val="a3"/>
          </w:rPr>
          <w:t>Власти могут снять ограничение по количеству пенсионных баллов, начисляемых работающим пенсионерам, узнал РБК. Им позволят копить баллы наравне с населением в трудоспособном возрасте - до 10 в год.</w:t>
        </w:r>
        <w:r w:rsidR="00095A57">
          <w:rPr>
            <w:webHidden/>
          </w:rPr>
          <w:tab/>
        </w:r>
        <w:r w:rsidR="00095A57">
          <w:rPr>
            <w:webHidden/>
          </w:rPr>
          <w:fldChar w:fldCharType="begin"/>
        </w:r>
        <w:r w:rsidR="00095A57">
          <w:rPr>
            <w:webHidden/>
          </w:rPr>
          <w:instrText xml:space="preserve"> PAGEREF _Toc175897231 \h </w:instrText>
        </w:r>
        <w:r w:rsidR="00095A57">
          <w:rPr>
            <w:webHidden/>
          </w:rPr>
        </w:r>
        <w:r w:rsidR="00095A57">
          <w:rPr>
            <w:webHidden/>
          </w:rPr>
          <w:fldChar w:fldCharType="separate"/>
        </w:r>
        <w:r w:rsidR="00095A57">
          <w:rPr>
            <w:webHidden/>
          </w:rPr>
          <w:t>26</w:t>
        </w:r>
        <w:r w:rsidR="00095A57">
          <w:rPr>
            <w:webHidden/>
          </w:rPr>
          <w:fldChar w:fldCharType="end"/>
        </w:r>
      </w:hyperlink>
    </w:p>
    <w:p w14:paraId="210BD654" w14:textId="7C0CA827" w:rsidR="00095A57" w:rsidRDefault="00997114">
      <w:pPr>
        <w:pStyle w:val="21"/>
        <w:tabs>
          <w:tab w:val="right" w:leader="dot" w:pos="9061"/>
        </w:tabs>
        <w:rPr>
          <w:rFonts w:ascii="Calibri" w:hAnsi="Calibri"/>
          <w:noProof/>
          <w:kern w:val="2"/>
        </w:rPr>
      </w:pPr>
      <w:hyperlink w:anchor="_Toc175897232" w:history="1">
        <w:r w:rsidR="00095A57" w:rsidRPr="0015580C">
          <w:rPr>
            <w:rStyle w:val="a3"/>
            <w:noProof/>
          </w:rPr>
          <w:t>РИА Новости, 29.08.2024, Социальный фонд объяснил, как срочная служба в армии влияет на пенсию</w:t>
        </w:r>
        <w:r w:rsidR="00095A57">
          <w:rPr>
            <w:noProof/>
            <w:webHidden/>
          </w:rPr>
          <w:tab/>
        </w:r>
        <w:r w:rsidR="00095A57">
          <w:rPr>
            <w:noProof/>
            <w:webHidden/>
          </w:rPr>
          <w:fldChar w:fldCharType="begin"/>
        </w:r>
        <w:r w:rsidR="00095A57">
          <w:rPr>
            <w:noProof/>
            <w:webHidden/>
          </w:rPr>
          <w:instrText xml:space="preserve"> PAGEREF _Toc175897232 \h </w:instrText>
        </w:r>
        <w:r w:rsidR="00095A57">
          <w:rPr>
            <w:noProof/>
            <w:webHidden/>
          </w:rPr>
        </w:r>
        <w:r w:rsidR="00095A57">
          <w:rPr>
            <w:noProof/>
            <w:webHidden/>
          </w:rPr>
          <w:fldChar w:fldCharType="separate"/>
        </w:r>
        <w:r w:rsidR="00095A57">
          <w:rPr>
            <w:noProof/>
            <w:webHidden/>
          </w:rPr>
          <w:t>30</w:t>
        </w:r>
        <w:r w:rsidR="00095A57">
          <w:rPr>
            <w:noProof/>
            <w:webHidden/>
          </w:rPr>
          <w:fldChar w:fldCharType="end"/>
        </w:r>
      </w:hyperlink>
    </w:p>
    <w:p w14:paraId="5E2A1002" w14:textId="7F625A3E" w:rsidR="00095A57" w:rsidRDefault="00997114">
      <w:pPr>
        <w:pStyle w:val="31"/>
        <w:rPr>
          <w:rFonts w:ascii="Calibri" w:hAnsi="Calibri"/>
          <w:kern w:val="2"/>
        </w:rPr>
      </w:pPr>
      <w:hyperlink w:anchor="_Toc175897233" w:history="1">
        <w:r w:rsidR="00095A57" w:rsidRPr="0015580C">
          <w:rPr>
            <w:rStyle w:val="a3"/>
          </w:rPr>
          <w:t>Срочная служба в армии засчитывается в пенсионный стаж и превращается в год стажа и 1,8 пенсионного коэффициента, этот период будет учтен и при досрочном выходе на пенсию, сообщили РИА Новости в Социальной фонде России.</w:t>
        </w:r>
        <w:r w:rsidR="00095A57">
          <w:rPr>
            <w:webHidden/>
          </w:rPr>
          <w:tab/>
        </w:r>
        <w:r w:rsidR="00095A57">
          <w:rPr>
            <w:webHidden/>
          </w:rPr>
          <w:fldChar w:fldCharType="begin"/>
        </w:r>
        <w:r w:rsidR="00095A57">
          <w:rPr>
            <w:webHidden/>
          </w:rPr>
          <w:instrText xml:space="preserve"> PAGEREF _Toc175897233 \h </w:instrText>
        </w:r>
        <w:r w:rsidR="00095A57">
          <w:rPr>
            <w:webHidden/>
          </w:rPr>
        </w:r>
        <w:r w:rsidR="00095A57">
          <w:rPr>
            <w:webHidden/>
          </w:rPr>
          <w:fldChar w:fldCharType="separate"/>
        </w:r>
        <w:r w:rsidR="00095A57">
          <w:rPr>
            <w:webHidden/>
          </w:rPr>
          <w:t>30</w:t>
        </w:r>
        <w:r w:rsidR="00095A57">
          <w:rPr>
            <w:webHidden/>
          </w:rPr>
          <w:fldChar w:fldCharType="end"/>
        </w:r>
      </w:hyperlink>
    </w:p>
    <w:p w14:paraId="0EB4FF1C" w14:textId="055DE014" w:rsidR="00095A57" w:rsidRDefault="00997114">
      <w:pPr>
        <w:pStyle w:val="21"/>
        <w:tabs>
          <w:tab w:val="right" w:leader="dot" w:pos="9061"/>
        </w:tabs>
        <w:rPr>
          <w:rFonts w:ascii="Calibri" w:hAnsi="Calibri"/>
          <w:noProof/>
          <w:kern w:val="2"/>
        </w:rPr>
      </w:pPr>
      <w:hyperlink w:anchor="_Toc175897234" w:history="1">
        <w:r w:rsidR="00095A57" w:rsidRPr="0015580C">
          <w:rPr>
            <w:rStyle w:val="a3"/>
            <w:noProof/>
          </w:rPr>
          <w:t>Пенсия.pro, 29.08.2024, Правительство определилось с надбавкой к пенсии за трудовой стаж на Украине</w:t>
        </w:r>
        <w:r w:rsidR="00095A57">
          <w:rPr>
            <w:noProof/>
            <w:webHidden/>
          </w:rPr>
          <w:tab/>
        </w:r>
        <w:r w:rsidR="00095A57">
          <w:rPr>
            <w:noProof/>
            <w:webHidden/>
          </w:rPr>
          <w:fldChar w:fldCharType="begin"/>
        </w:r>
        <w:r w:rsidR="00095A57">
          <w:rPr>
            <w:noProof/>
            <w:webHidden/>
          </w:rPr>
          <w:instrText xml:space="preserve"> PAGEREF _Toc175897234 \h </w:instrText>
        </w:r>
        <w:r w:rsidR="00095A57">
          <w:rPr>
            <w:noProof/>
            <w:webHidden/>
          </w:rPr>
        </w:r>
        <w:r w:rsidR="00095A57">
          <w:rPr>
            <w:noProof/>
            <w:webHidden/>
          </w:rPr>
          <w:fldChar w:fldCharType="separate"/>
        </w:r>
        <w:r w:rsidR="00095A57">
          <w:rPr>
            <w:noProof/>
            <w:webHidden/>
          </w:rPr>
          <w:t>31</w:t>
        </w:r>
        <w:r w:rsidR="00095A57">
          <w:rPr>
            <w:noProof/>
            <w:webHidden/>
          </w:rPr>
          <w:fldChar w:fldCharType="end"/>
        </w:r>
      </w:hyperlink>
    </w:p>
    <w:p w14:paraId="50AB9B9B" w14:textId="4F966D05" w:rsidR="00095A57" w:rsidRDefault="00997114">
      <w:pPr>
        <w:pStyle w:val="31"/>
        <w:rPr>
          <w:rFonts w:ascii="Calibri" w:hAnsi="Calibri"/>
          <w:kern w:val="2"/>
        </w:rPr>
      </w:pPr>
      <w:hyperlink w:anchor="_Toc175897235" w:history="1">
        <w:r w:rsidR="00095A57" w:rsidRPr="0015580C">
          <w:rPr>
            <w:rStyle w:val="a3"/>
          </w:rPr>
          <w:t>Перерасчет пенсий по старости россиянам, которые с 1991 года жили и работали на территории Украины, принесет в 2024 году каждому из них ежемесячную доплату размером 2 385 рублей в среднем. Это следует из законопроекта, который правительство России внесло в Госдуму.</w:t>
        </w:r>
        <w:r w:rsidR="00095A57">
          <w:rPr>
            <w:webHidden/>
          </w:rPr>
          <w:tab/>
        </w:r>
        <w:r w:rsidR="00095A57">
          <w:rPr>
            <w:webHidden/>
          </w:rPr>
          <w:fldChar w:fldCharType="begin"/>
        </w:r>
        <w:r w:rsidR="00095A57">
          <w:rPr>
            <w:webHidden/>
          </w:rPr>
          <w:instrText xml:space="preserve"> PAGEREF _Toc175897235 \h </w:instrText>
        </w:r>
        <w:r w:rsidR="00095A57">
          <w:rPr>
            <w:webHidden/>
          </w:rPr>
        </w:r>
        <w:r w:rsidR="00095A57">
          <w:rPr>
            <w:webHidden/>
          </w:rPr>
          <w:fldChar w:fldCharType="separate"/>
        </w:r>
        <w:r w:rsidR="00095A57">
          <w:rPr>
            <w:webHidden/>
          </w:rPr>
          <w:t>31</w:t>
        </w:r>
        <w:r w:rsidR="00095A57">
          <w:rPr>
            <w:webHidden/>
          </w:rPr>
          <w:fldChar w:fldCharType="end"/>
        </w:r>
      </w:hyperlink>
    </w:p>
    <w:p w14:paraId="627D5941" w14:textId="3EBA2406" w:rsidR="00095A57" w:rsidRDefault="00997114">
      <w:pPr>
        <w:pStyle w:val="21"/>
        <w:tabs>
          <w:tab w:val="right" w:leader="dot" w:pos="9061"/>
        </w:tabs>
        <w:rPr>
          <w:rFonts w:ascii="Calibri" w:hAnsi="Calibri"/>
          <w:noProof/>
          <w:kern w:val="2"/>
        </w:rPr>
      </w:pPr>
      <w:hyperlink w:anchor="_Toc175897236" w:history="1">
        <w:r w:rsidR="00095A57" w:rsidRPr="0015580C">
          <w:rPr>
            <w:rStyle w:val="a3"/>
            <w:noProof/>
          </w:rPr>
          <w:t>Актуальные Новости, 29.08.2024, Юрист Соловьев заявил, что домохозяйки могут сформировать пенсию через взносы в Соцфонд</w:t>
        </w:r>
        <w:r w:rsidR="00095A57">
          <w:rPr>
            <w:noProof/>
            <w:webHidden/>
          </w:rPr>
          <w:tab/>
        </w:r>
        <w:r w:rsidR="00095A57">
          <w:rPr>
            <w:noProof/>
            <w:webHidden/>
          </w:rPr>
          <w:fldChar w:fldCharType="begin"/>
        </w:r>
        <w:r w:rsidR="00095A57">
          <w:rPr>
            <w:noProof/>
            <w:webHidden/>
          </w:rPr>
          <w:instrText xml:space="preserve"> PAGEREF _Toc175897236 \h </w:instrText>
        </w:r>
        <w:r w:rsidR="00095A57">
          <w:rPr>
            <w:noProof/>
            <w:webHidden/>
          </w:rPr>
        </w:r>
        <w:r w:rsidR="00095A57">
          <w:rPr>
            <w:noProof/>
            <w:webHidden/>
          </w:rPr>
          <w:fldChar w:fldCharType="separate"/>
        </w:r>
        <w:r w:rsidR="00095A57">
          <w:rPr>
            <w:noProof/>
            <w:webHidden/>
          </w:rPr>
          <w:t>31</w:t>
        </w:r>
        <w:r w:rsidR="00095A57">
          <w:rPr>
            <w:noProof/>
            <w:webHidden/>
          </w:rPr>
          <w:fldChar w:fldCharType="end"/>
        </w:r>
      </w:hyperlink>
    </w:p>
    <w:p w14:paraId="7DD60B8B" w14:textId="7E49F6ED" w:rsidR="00095A57" w:rsidRDefault="00997114">
      <w:pPr>
        <w:pStyle w:val="31"/>
        <w:rPr>
          <w:rFonts w:ascii="Calibri" w:hAnsi="Calibri"/>
          <w:kern w:val="2"/>
        </w:rPr>
      </w:pPr>
      <w:hyperlink w:anchor="_Toc175897237" w:history="1">
        <w:r w:rsidR="00095A57" w:rsidRPr="0015580C">
          <w:rPr>
            <w:rStyle w:val="a3"/>
          </w:rPr>
          <w:t>Юрист Иван Соловьев в разговоре с отечественными журналистами объяснил домохозяйкам, как они могут оформить пенсионные выплаты. По его словам, они способны рассчитывать на социальную пенсию или оформить свою будущую пенсию самостоятельно.</w:t>
        </w:r>
        <w:r w:rsidR="00095A57">
          <w:rPr>
            <w:webHidden/>
          </w:rPr>
          <w:tab/>
        </w:r>
        <w:r w:rsidR="00095A57">
          <w:rPr>
            <w:webHidden/>
          </w:rPr>
          <w:fldChar w:fldCharType="begin"/>
        </w:r>
        <w:r w:rsidR="00095A57">
          <w:rPr>
            <w:webHidden/>
          </w:rPr>
          <w:instrText xml:space="preserve"> PAGEREF _Toc175897237 \h </w:instrText>
        </w:r>
        <w:r w:rsidR="00095A57">
          <w:rPr>
            <w:webHidden/>
          </w:rPr>
        </w:r>
        <w:r w:rsidR="00095A57">
          <w:rPr>
            <w:webHidden/>
          </w:rPr>
          <w:fldChar w:fldCharType="separate"/>
        </w:r>
        <w:r w:rsidR="00095A57">
          <w:rPr>
            <w:webHidden/>
          </w:rPr>
          <w:t>31</w:t>
        </w:r>
        <w:r w:rsidR="00095A57">
          <w:rPr>
            <w:webHidden/>
          </w:rPr>
          <w:fldChar w:fldCharType="end"/>
        </w:r>
      </w:hyperlink>
    </w:p>
    <w:p w14:paraId="1785DA25" w14:textId="524174FC" w:rsidR="00095A57" w:rsidRDefault="00997114">
      <w:pPr>
        <w:pStyle w:val="21"/>
        <w:tabs>
          <w:tab w:val="right" w:leader="dot" w:pos="9061"/>
        </w:tabs>
        <w:rPr>
          <w:rFonts w:ascii="Calibri" w:hAnsi="Calibri"/>
          <w:noProof/>
          <w:kern w:val="2"/>
        </w:rPr>
      </w:pPr>
      <w:hyperlink w:anchor="_Toc175897238" w:history="1">
        <w:r w:rsidR="00095A57" w:rsidRPr="0015580C">
          <w:rPr>
            <w:rStyle w:val="a3"/>
            <w:noProof/>
          </w:rPr>
          <w:t>PRIMPRESS, 29.08.2024, Указ подписан. Разовая выплата пенсионерам 20 000 рублей начнется с 30 августа</w:t>
        </w:r>
        <w:r w:rsidR="00095A57">
          <w:rPr>
            <w:noProof/>
            <w:webHidden/>
          </w:rPr>
          <w:tab/>
        </w:r>
        <w:r w:rsidR="00095A57">
          <w:rPr>
            <w:noProof/>
            <w:webHidden/>
          </w:rPr>
          <w:fldChar w:fldCharType="begin"/>
        </w:r>
        <w:r w:rsidR="00095A57">
          <w:rPr>
            <w:noProof/>
            <w:webHidden/>
          </w:rPr>
          <w:instrText xml:space="preserve"> PAGEREF _Toc175897238 \h </w:instrText>
        </w:r>
        <w:r w:rsidR="00095A57">
          <w:rPr>
            <w:noProof/>
            <w:webHidden/>
          </w:rPr>
        </w:r>
        <w:r w:rsidR="00095A57">
          <w:rPr>
            <w:noProof/>
            <w:webHidden/>
          </w:rPr>
          <w:fldChar w:fldCharType="separate"/>
        </w:r>
        <w:r w:rsidR="00095A57">
          <w:rPr>
            <w:noProof/>
            <w:webHidden/>
          </w:rPr>
          <w:t>32</w:t>
        </w:r>
        <w:r w:rsidR="00095A57">
          <w:rPr>
            <w:noProof/>
            <w:webHidden/>
          </w:rPr>
          <w:fldChar w:fldCharType="end"/>
        </w:r>
      </w:hyperlink>
    </w:p>
    <w:p w14:paraId="050E80A8" w14:textId="7DA2222A" w:rsidR="00095A57" w:rsidRDefault="00997114">
      <w:pPr>
        <w:pStyle w:val="31"/>
        <w:rPr>
          <w:rFonts w:ascii="Calibri" w:hAnsi="Calibri"/>
          <w:kern w:val="2"/>
        </w:rPr>
      </w:pPr>
      <w:hyperlink w:anchor="_Toc175897239" w:history="1">
        <w:r w:rsidR="00095A57" w:rsidRPr="0015580C">
          <w:rPr>
            <w:rStyle w:val="a3"/>
          </w:rPr>
          <w:t>Пенсионерам рассказали о новой единовременной выплате, которую начнут перечислять уже с 30 августа. Дополнительный бонус получат те люди, которые достигли определенного возрастного порога. И указ на эту тему ранее был подписан на уровне региона. Об этом рассказал пенсионный эксперт Сергей Власов, сообщает PRIMPRESS.</w:t>
        </w:r>
        <w:r w:rsidR="00095A57">
          <w:rPr>
            <w:webHidden/>
          </w:rPr>
          <w:tab/>
        </w:r>
        <w:r w:rsidR="00095A57">
          <w:rPr>
            <w:webHidden/>
          </w:rPr>
          <w:fldChar w:fldCharType="begin"/>
        </w:r>
        <w:r w:rsidR="00095A57">
          <w:rPr>
            <w:webHidden/>
          </w:rPr>
          <w:instrText xml:space="preserve"> PAGEREF _Toc175897239 \h </w:instrText>
        </w:r>
        <w:r w:rsidR="00095A57">
          <w:rPr>
            <w:webHidden/>
          </w:rPr>
        </w:r>
        <w:r w:rsidR="00095A57">
          <w:rPr>
            <w:webHidden/>
          </w:rPr>
          <w:fldChar w:fldCharType="separate"/>
        </w:r>
        <w:r w:rsidR="00095A57">
          <w:rPr>
            <w:webHidden/>
          </w:rPr>
          <w:t>32</w:t>
        </w:r>
        <w:r w:rsidR="00095A57">
          <w:rPr>
            <w:webHidden/>
          </w:rPr>
          <w:fldChar w:fldCharType="end"/>
        </w:r>
      </w:hyperlink>
    </w:p>
    <w:p w14:paraId="186A5DE3" w14:textId="5D9D070B" w:rsidR="00095A57" w:rsidRDefault="00997114">
      <w:pPr>
        <w:pStyle w:val="21"/>
        <w:tabs>
          <w:tab w:val="right" w:leader="dot" w:pos="9061"/>
        </w:tabs>
        <w:rPr>
          <w:rFonts w:ascii="Calibri" w:hAnsi="Calibri"/>
          <w:noProof/>
          <w:kern w:val="2"/>
        </w:rPr>
      </w:pPr>
      <w:hyperlink w:anchor="_Toc175897240" w:history="1">
        <w:r w:rsidR="00095A57" w:rsidRPr="0015580C">
          <w:rPr>
            <w:rStyle w:val="a3"/>
            <w:noProof/>
          </w:rPr>
          <w:t>PRIMPRESS, 29.08.2024, Уже точно. Из сентябрьской пенсии вычтут 6560 рублей – кто в списках</w:t>
        </w:r>
        <w:r w:rsidR="00095A57">
          <w:rPr>
            <w:noProof/>
            <w:webHidden/>
          </w:rPr>
          <w:tab/>
        </w:r>
        <w:r w:rsidR="00095A57">
          <w:rPr>
            <w:noProof/>
            <w:webHidden/>
          </w:rPr>
          <w:fldChar w:fldCharType="begin"/>
        </w:r>
        <w:r w:rsidR="00095A57">
          <w:rPr>
            <w:noProof/>
            <w:webHidden/>
          </w:rPr>
          <w:instrText xml:space="preserve"> PAGEREF _Toc175897240 \h </w:instrText>
        </w:r>
        <w:r w:rsidR="00095A57">
          <w:rPr>
            <w:noProof/>
            <w:webHidden/>
          </w:rPr>
        </w:r>
        <w:r w:rsidR="00095A57">
          <w:rPr>
            <w:noProof/>
            <w:webHidden/>
          </w:rPr>
          <w:fldChar w:fldCharType="separate"/>
        </w:r>
        <w:r w:rsidR="00095A57">
          <w:rPr>
            <w:noProof/>
            <w:webHidden/>
          </w:rPr>
          <w:t>32</w:t>
        </w:r>
        <w:r w:rsidR="00095A57">
          <w:rPr>
            <w:noProof/>
            <w:webHidden/>
          </w:rPr>
          <w:fldChar w:fldCharType="end"/>
        </w:r>
      </w:hyperlink>
    </w:p>
    <w:p w14:paraId="43A0916D" w14:textId="28D91587" w:rsidR="00095A57" w:rsidRDefault="00997114">
      <w:pPr>
        <w:pStyle w:val="31"/>
        <w:rPr>
          <w:rFonts w:ascii="Calibri" w:hAnsi="Calibri"/>
          <w:kern w:val="2"/>
        </w:rPr>
      </w:pPr>
      <w:hyperlink w:anchor="_Toc175897241" w:history="1">
        <w:r w:rsidR="00095A57" w:rsidRPr="0015580C">
          <w:rPr>
            <w:rStyle w:val="a3"/>
          </w:rPr>
          <w:t>Пенсионерам рассказали об изменении размера выплат, которое ожидается уже в сентябре. В начале осени у многих из пенсии вычтут сумму более чем в шесть тысяч рублей. И это будет происходить при определенных условиях. Об этом рассказала пенсионный эксперт Анастасия Киреева, сообщает PRIMPRESS.</w:t>
        </w:r>
        <w:r w:rsidR="00095A57">
          <w:rPr>
            <w:webHidden/>
          </w:rPr>
          <w:tab/>
        </w:r>
        <w:r w:rsidR="00095A57">
          <w:rPr>
            <w:webHidden/>
          </w:rPr>
          <w:fldChar w:fldCharType="begin"/>
        </w:r>
        <w:r w:rsidR="00095A57">
          <w:rPr>
            <w:webHidden/>
          </w:rPr>
          <w:instrText xml:space="preserve"> PAGEREF _Toc175897241 \h </w:instrText>
        </w:r>
        <w:r w:rsidR="00095A57">
          <w:rPr>
            <w:webHidden/>
          </w:rPr>
        </w:r>
        <w:r w:rsidR="00095A57">
          <w:rPr>
            <w:webHidden/>
          </w:rPr>
          <w:fldChar w:fldCharType="separate"/>
        </w:r>
        <w:r w:rsidR="00095A57">
          <w:rPr>
            <w:webHidden/>
          </w:rPr>
          <w:t>32</w:t>
        </w:r>
        <w:r w:rsidR="00095A57">
          <w:rPr>
            <w:webHidden/>
          </w:rPr>
          <w:fldChar w:fldCharType="end"/>
        </w:r>
      </w:hyperlink>
    </w:p>
    <w:p w14:paraId="01F7D2C6" w14:textId="55D75E22" w:rsidR="00095A57" w:rsidRDefault="00997114">
      <w:pPr>
        <w:pStyle w:val="21"/>
        <w:tabs>
          <w:tab w:val="right" w:leader="dot" w:pos="9061"/>
        </w:tabs>
        <w:rPr>
          <w:rFonts w:ascii="Calibri" w:hAnsi="Calibri"/>
          <w:noProof/>
          <w:kern w:val="2"/>
        </w:rPr>
      </w:pPr>
      <w:hyperlink w:anchor="_Toc175897242" w:history="1">
        <w:r w:rsidR="00095A57" w:rsidRPr="0015580C">
          <w:rPr>
            <w:rStyle w:val="a3"/>
            <w:noProof/>
          </w:rPr>
          <w:t>PRIMPRESS, 29.08.2024, «Придется платить». Озвучены налоги, которые будут взимать с пенсионеров</w:t>
        </w:r>
        <w:r w:rsidR="00095A57">
          <w:rPr>
            <w:noProof/>
            <w:webHidden/>
          </w:rPr>
          <w:tab/>
        </w:r>
        <w:r w:rsidR="00095A57">
          <w:rPr>
            <w:noProof/>
            <w:webHidden/>
          </w:rPr>
          <w:fldChar w:fldCharType="begin"/>
        </w:r>
        <w:r w:rsidR="00095A57">
          <w:rPr>
            <w:noProof/>
            <w:webHidden/>
          </w:rPr>
          <w:instrText xml:space="preserve"> PAGEREF _Toc175897242 \h </w:instrText>
        </w:r>
        <w:r w:rsidR="00095A57">
          <w:rPr>
            <w:noProof/>
            <w:webHidden/>
          </w:rPr>
        </w:r>
        <w:r w:rsidR="00095A57">
          <w:rPr>
            <w:noProof/>
            <w:webHidden/>
          </w:rPr>
          <w:fldChar w:fldCharType="separate"/>
        </w:r>
        <w:r w:rsidR="00095A57">
          <w:rPr>
            <w:noProof/>
            <w:webHidden/>
          </w:rPr>
          <w:t>33</w:t>
        </w:r>
        <w:r w:rsidR="00095A57">
          <w:rPr>
            <w:noProof/>
            <w:webHidden/>
          </w:rPr>
          <w:fldChar w:fldCharType="end"/>
        </w:r>
      </w:hyperlink>
    </w:p>
    <w:p w14:paraId="1B5DB70C" w14:textId="3B628772" w:rsidR="00095A57" w:rsidRDefault="00997114">
      <w:pPr>
        <w:pStyle w:val="31"/>
        <w:rPr>
          <w:rFonts w:ascii="Calibri" w:hAnsi="Calibri"/>
          <w:kern w:val="2"/>
        </w:rPr>
      </w:pPr>
      <w:hyperlink w:anchor="_Toc175897243" w:history="1">
        <w:r w:rsidR="00095A57" w:rsidRPr="0015580C">
          <w:rPr>
            <w:rStyle w:val="a3"/>
          </w:rPr>
          <w:t>ФНС начала уведомлять пенсионеров о том, какие налоги им придется заплатить в 2024 году. О перечне выплат, от которых не освобождают пожилых россиян, в своем Telegram-канале рассказала юрист Ирина Сивакова, сообщает PRIMPRESS.</w:t>
        </w:r>
        <w:r w:rsidR="00095A57">
          <w:rPr>
            <w:webHidden/>
          </w:rPr>
          <w:tab/>
        </w:r>
        <w:r w:rsidR="00095A57">
          <w:rPr>
            <w:webHidden/>
          </w:rPr>
          <w:fldChar w:fldCharType="begin"/>
        </w:r>
        <w:r w:rsidR="00095A57">
          <w:rPr>
            <w:webHidden/>
          </w:rPr>
          <w:instrText xml:space="preserve"> PAGEREF _Toc175897243 \h </w:instrText>
        </w:r>
        <w:r w:rsidR="00095A57">
          <w:rPr>
            <w:webHidden/>
          </w:rPr>
        </w:r>
        <w:r w:rsidR="00095A57">
          <w:rPr>
            <w:webHidden/>
          </w:rPr>
          <w:fldChar w:fldCharType="separate"/>
        </w:r>
        <w:r w:rsidR="00095A57">
          <w:rPr>
            <w:webHidden/>
          </w:rPr>
          <w:t>33</w:t>
        </w:r>
        <w:r w:rsidR="00095A57">
          <w:rPr>
            <w:webHidden/>
          </w:rPr>
          <w:fldChar w:fldCharType="end"/>
        </w:r>
      </w:hyperlink>
    </w:p>
    <w:p w14:paraId="7543F4EA" w14:textId="3CAE2D54" w:rsidR="00095A57" w:rsidRDefault="00997114">
      <w:pPr>
        <w:pStyle w:val="21"/>
        <w:tabs>
          <w:tab w:val="right" w:leader="dot" w:pos="9061"/>
        </w:tabs>
        <w:rPr>
          <w:rFonts w:ascii="Calibri" w:hAnsi="Calibri"/>
          <w:noProof/>
          <w:kern w:val="2"/>
        </w:rPr>
      </w:pPr>
      <w:hyperlink w:anchor="_Toc175897244" w:history="1">
        <w:r w:rsidR="00095A57" w:rsidRPr="0015580C">
          <w:rPr>
            <w:rStyle w:val="a3"/>
            <w:noProof/>
          </w:rPr>
          <w:t>DEITA.ru, 29.08.2024, Что стоит сделать пенсионерам с 1953 по 1966 год рождения</w:t>
        </w:r>
        <w:r w:rsidR="00095A57">
          <w:rPr>
            <w:noProof/>
            <w:webHidden/>
          </w:rPr>
          <w:tab/>
        </w:r>
        <w:r w:rsidR="00095A57">
          <w:rPr>
            <w:noProof/>
            <w:webHidden/>
          </w:rPr>
          <w:fldChar w:fldCharType="begin"/>
        </w:r>
        <w:r w:rsidR="00095A57">
          <w:rPr>
            <w:noProof/>
            <w:webHidden/>
          </w:rPr>
          <w:instrText xml:space="preserve"> PAGEREF _Toc175897244 \h </w:instrText>
        </w:r>
        <w:r w:rsidR="00095A57">
          <w:rPr>
            <w:noProof/>
            <w:webHidden/>
          </w:rPr>
        </w:r>
        <w:r w:rsidR="00095A57">
          <w:rPr>
            <w:noProof/>
            <w:webHidden/>
          </w:rPr>
          <w:fldChar w:fldCharType="separate"/>
        </w:r>
        <w:r w:rsidR="00095A57">
          <w:rPr>
            <w:noProof/>
            <w:webHidden/>
          </w:rPr>
          <w:t>34</w:t>
        </w:r>
        <w:r w:rsidR="00095A57">
          <w:rPr>
            <w:noProof/>
            <w:webHidden/>
          </w:rPr>
          <w:fldChar w:fldCharType="end"/>
        </w:r>
      </w:hyperlink>
    </w:p>
    <w:p w14:paraId="4B17B6A2" w14:textId="49813F63" w:rsidR="00095A57" w:rsidRDefault="00997114">
      <w:pPr>
        <w:pStyle w:val="31"/>
        <w:rPr>
          <w:rFonts w:ascii="Calibri" w:hAnsi="Calibri"/>
          <w:kern w:val="2"/>
        </w:rPr>
      </w:pPr>
      <w:hyperlink w:anchor="_Toc175897245" w:history="1">
        <w:r w:rsidR="00095A57" w:rsidRPr="0015580C">
          <w:rPr>
            <w:rStyle w:val="a3"/>
          </w:rPr>
          <w:t>Представителям старшего поколения стоит уточнить свой пенсионный статус и проверить наличие оснований для повышения ежемесячных выплат. Такой совет пожилым гражданам дала юрист Натали Феофанова, сообщает ИА DEITA.RU.</w:t>
        </w:r>
        <w:r w:rsidR="00095A57">
          <w:rPr>
            <w:webHidden/>
          </w:rPr>
          <w:tab/>
        </w:r>
        <w:r w:rsidR="00095A57">
          <w:rPr>
            <w:webHidden/>
          </w:rPr>
          <w:fldChar w:fldCharType="begin"/>
        </w:r>
        <w:r w:rsidR="00095A57">
          <w:rPr>
            <w:webHidden/>
          </w:rPr>
          <w:instrText xml:space="preserve"> PAGEREF _Toc175897245 \h </w:instrText>
        </w:r>
        <w:r w:rsidR="00095A57">
          <w:rPr>
            <w:webHidden/>
          </w:rPr>
        </w:r>
        <w:r w:rsidR="00095A57">
          <w:rPr>
            <w:webHidden/>
          </w:rPr>
          <w:fldChar w:fldCharType="separate"/>
        </w:r>
        <w:r w:rsidR="00095A57">
          <w:rPr>
            <w:webHidden/>
          </w:rPr>
          <w:t>34</w:t>
        </w:r>
        <w:r w:rsidR="00095A57">
          <w:rPr>
            <w:webHidden/>
          </w:rPr>
          <w:fldChar w:fldCharType="end"/>
        </w:r>
      </w:hyperlink>
    </w:p>
    <w:p w14:paraId="67C647FB" w14:textId="21DFEF4E" w:rsidR="00095A57" w:rsidRDefault="00997114">
      <w:pPr>
        <w:pStyle w:val="21"/>
        <w:tabs>
          <w:tab w:val="right" w:leader="dot" w:pos="9061"/>
        </w:tabs>
        <w:rPr>
          <w:rFonts w:ascii="Calibri" w:hAnsi="Calibri"/>
          <w:noProof/>
          <w:kern w:val="2"/>
        </w:rPr>
      </w:pPr>
      <w:hyperlink w:anchor="_Toc175897246" w:history="1">
        <w:r w:rsidR="00095A57" w:rsidRPr="0015580C">
          <w:rPr>
            <w:rStyle w:val="a3"/>
            <w:noProof/>
          </w:rPr>
          <w:t>Адвокатская газета, 29.08.2024, Правила расчета страховых пенсий с 2026 года изменятся - подробности</w:t>
        </w:r>
        <w:r w:rsidR="00095A57">
          <w:rPr>
            <w:noProof/>
            <w:webHidden/>
          </w:rPr>
          <w:tab/>
        </w:r>
        <w:r w:rsidR="00095A57">
          <w:rPr>
            <w:noProof/>
            <w:webHidden/>
          </w:rPr>
          <w:fldChar w:fldCharType="begin"/>
        </w:r>
        <w:r w:rsidR="00095A57">
          <w:rPr>
            <w:noProof/>
            <w:webHidden/>
          </w:rPr>
          <w:instrText xml:space="preserve"> PAGEREF _Toc175897246 \h </w:instrText>
        </w:r>
        <w:r w:rsidR="00095A57">
          <w:rPr>
            <w:noProof/>
            <w:webHidden/>
          </w:rPr>
        </w:r>
        <w:r w:rsidR="00095A57">
          <w:rPr>
            <w:noProof/>
            <w:webHidden/>
          </w:rPr>
          <w:fldChar w:fldCharType="separate"/>
        </w:r>
        <w:r w:rsidR="00095A57">
          <w:rPr>
            <w:noProof/>
            <w:webHidden/>
          </w:rPr>
          <w:t>34</w:t>
        </w:r>
        <w:r w:rsidR="00095A57">
          <w:rPr>
            <w:noProof/>
            <w:webHidden/>
          </w:rPr>
          <w:fldChar w:fldCharType="end"/>
        </w:r>
      </w:hyperlink>
    </w:p>
    <w:p w14:paraId="3CC44DF0" w14:textId="01AE5F2E" w:rsidR="00095A57" w:rsidRDefault="00997114">
      <w:pPr>
        <w:pStyle w:val="31"/>
        <w:rPr>
          <w:rFonts w:ascii="Calibri" w:hAnsi="Calibri"/>
          <w:kern w:val="2"/>
        </w:rPr>
      </w:pPr>
      <w:hyperlink w:anchor="_Toc175897247" w:history="1">
        <w:r w:rsidR="00095A57" w:rsidRPr="0015580C">
          <w:rPr>
            <w:rStyle w:val="a3"/>
          </w:rPr>
          <w:t>Усталость от бесконечных перемен в пенсионной системе ощущают все. И вот, Минтруд решил внести новые поправки. Посмотрим, станут ли они полезными для пенсионеров или лишь создадут дополнительные вопросы.</w:t>
        </w:r>
        <w:r w:rsidR="00095A57">
          <w:rPr>
            <w:webHidden/>
          </w:rPr>
          <w:tab/>
        </w:r>
        <w:r w:rsidR="00095A57">
          <w:rPr>
            <w:webHidden/>
          </w:rPr>
          <w:fldChar w:fldCharType="begin"/>
        </w:r>
        <w:r w:rsidR="00095A57">
          <w:rPr>
            <w:webHidden/>
          </w:rPr>
          <w:instrText xml:space="preserve"> PAGEREF _Toc175897247 \h </w:instrText>
        </w:r>
        <w:r w:rsidR="00095A57">
          <w:rPr>
            <w:webHidden/>
          </w:rPr>
        </w:r>
        <w:r w:rsidR="00095A57">
          <w:rPr>
            <w:webHidden/>
          </w:rPr>
          <w:fldChar w:fldCharType="separate"/>
        </w:r>
        <w:r w:rsidR="00095A57">
          <w:rPr>
            <w:webHidden/>
          </w:rPr>
          <w:t>34</w:t>
        </w:r>
        <w:r w:rsidR="00095A57">
          <w:rPr>
            <w:webHidden/>
          </w:rPr>
          <w:fldChar w:fldCharType="end"/>
        </w:r>
      </w:hyperlink>
    </w:p>
    <w:p w14:paraId="51EEBD4A" w14:textId="1734A470" w:rsidR="00095A57" w:rsidRDefault="00997114">
      <w:pPr>
        <w:pStyle w:val="12"/>
        <w:tabs>
          <w:tab w:val="right" w:leader="dot" w:pos="9061"/>
        </w:tabs>
        <w:rPr>
          <w:rFonts w:ascii="Calibri" w:hAnsi="Calibri"/>
          <w:b w:val="0"/>
          <w:noProof/>
          <w:kern w:val="2"/>
          <w:sz w:val="24"/>
        </w:rPr>
      </w:pPr>
      <w:hyperlink w:anchor="_Toc175897248" w:history="1">
        <w:r w:rsidR="00095A57" w:rsidRPr="0015580C">
          <w:rPr>
            <w:rStyle w:val="a3"/>
            <w:noProof/>
          </w:rPr>
          <w:t>НОВОСТИ МАКРОЭКОНОМИКИ</w:t>
        </w:r>
        <w:r w:rsidR="00095A57">
          <w:rPr>
            <w:noProof/>
            <w:webHidden/>
          </w:rPr>
          <w:tab/>
        </w:r>
        <w:r w:rsidR="00095A57">
          <w:rPr>
            <w:noProof/>
            <w:webHidden/>
          </w:rPr>
          <w:fldChar w:fldCharType="begin"/>
        </w:r>
        <w:r w:rsidR="00095A57">
          <w:rPr>
            <w:noProof/>
            <w:webHidden/>
          </w:rPr>
          <w:instrText xml:space="preserve"> PAGEREF _Toc175897248 \h </w:instrText>
        </w:r>
        <w:r w:rsidR="00095A57">
          <w:rPr>
            <w:noProof/>
            <w:webHidden/>
          </w:rPr>
        </w:r>
        <w:r w:rsidR="00095A57">
          <w:rPr>
            <w:noProof/>
            <w:webHidden/>
          </w:rPr>
          <w:fldChar w:fldCharType="separate"/>
        </w:r>
        <w:r w:rsidR="00095A57">
          <w:rPr>
            <w:noProof/>
            <w:webHidden/>
          </w:rPr>
          <w:t>36</w:t>
        </w:r>
        <w:r w:rsidR="00095A57">
          <w:rPr>
            <w:noProof/>
            <w:webHidden/>
          </w:rPr>
          <w:fldChar w:fldCharType="end"/>
        </w:r>
      </w:hyperlink>
    </w:p>
    <w:p w14:paraId="4EE09633" w14:textId="3CDBBD6E" w:rsidR="00095A57" w:rsidRDefault="00997114">
      <w:pPr>
        <w:pStyle w:val="21"/>
        <w:tabs>
          <w:tab w:val="right" w:leader="dot" w:pos="9061"/>
        </w:tabs>
        <w:rPr>
          <w:rFonts w:ascii="Calibri" w:hAnsi="Calibri"/>
          <w:noProof/>
          <w:kern w:val="2"/>
        </w:rPr>
      </w:pPr>
      <w:hyperlink w:anchor="_Toc175897249" w:history="1">
        <w:r w:rsidR="00095A57" w:rsidRPr="0015580C">
          <w:rPr>
            <w:rStyle w:val="a3"/>
            <w:noProof/>
          </w:rPr>
          <w:t>Ведомости, 30.08.2024, Яков ТИМАКОВ, Анастасия БОЙКО, ЦБ представил сценарии замедления и разгона инфляции</w:t>
        </w:r>
        <w:r w:rsidR="00095A57">
          <w:rPr>
            <w:noProof/>
            <w:webHidden/>
          </w:rPr>
          <w:tab/>
        </w:r>
        <w:r w:rsidR="00095A57">
          <w:rPr>
            <w:noProof/>
            <w:webHidden/>
          </w:rPr>
          <w:fldChar w:fldCharType="begin"/>
        </w:r>
        <w:r w:rsidR="00095A57">
          <w:rPr>
            <w:noProof/>
            <w:webHidden/>
          </w:rPr>
          <w:instrText xml:space="preserve"> PAGEREF _Toc175897249 \h </w:instrText>
        </w:r>
        <w:r w:rsidR="00095A57">
          <w:rPr>
            <w:noProof/>
            <w:webHidden/>
          </w:rPr>
        </w:r>
        <w:r w:rsidR="00095A57">
          <w:rPr>
            <w:noProof/>
            <w:webHidden/>
          </w:rPr>
          <w:fldChar w:fldCharType="separate"/>
        </w:r>
        <w:r w:rsidR="00095A57">
          <w:rPr>
            <w:noProof/>
            <w:webHidden/>
          </w:rPr>
          <w:t>36</w:t>
        </w:r>
        <w:r w:rsidR="00095A57">
          <w:rPr>
            <w:noProof/>
            <w:webHidden/>
          </w:rPr>
          <w:fldChar w:fldCharType="end"/>
        </w:r>
      </w:hyperlink>
    </w:p>
    <w:p w14:paraId="18EF05F6" w14:textId="25C42B97" w:rsidR="00095A57" w:rsidRDefault="00997114">
      <w:pPr>
        <w:pStyle w:val="31"/>
        <w:rPr>
          <w:rFonts w:ascii="Calibri" w:hAnsi="Calibri"/>
          <w:kern w:val="2"/>
        </w:rPr>
      </w:pPr>
      <w:hyperlink w:anchor="_Toc175897250" w:history="1">
        <w:r w:rsidR="00095A57" w:rsidRPr="0015580C">
          <w:rPr>
            <w:rStyle w:val="a3"/>
          </w:rPr>
          <w:t>ЦБ представил четыре сценария развития экономической ситуации в России: базовый, оптимистичный «дезинфляционный (выше потенциал)» и два неблагоприятных - «проинфляционный (выше спрос)» и «рисковый (глобальный кризис)». Прогнозы регулятор представил в проекте «Основных направлений единой государственной денежно-кредитной политики на 2025-2027 гг.». Это один из основных системных документов Банка России.</w:t>
        </w:r>
        <w:r w:rsidR="00095A57">
          <w:rPr>
            <w:webHidden/>
          </w:rPr>
          <w:tab/>
        </w:r>
        <w:r w:rsidR="00095A57">
          <w:rPr>
            <w:webHidden/>
          </w:rPr>
          <w:fldChar w:fldCharType="begin"/>
        </w:r>
        <w:r w:rsidR="00095A57">
          <w:rPr>
            <w:webHidden/>
          </w:rPr>
          <w:instrText xml:space="preserve"> PAGEREF _Toc175897250 \h </w:instrText>
        </w:r>
        <w:r w:rsidR="00095A57">
          <w:rPr>
            <w:webHidden/>
          </w:rPr>
        </w:r>
        <w:r w:rsidR="00095A57">
          <w:rPr>
            <w:webHidden/>
          </w:rPr>
          <w:fldChar w:fldCharType="separate"/>
        </w:r>
        <w:r w:rsidR="00095A57">
          <w:rPr>
            <w:webHidden/>
          </w:rPr>
          <w:t>36</w:t>
        </w:r>
        <w:r w:rsidR="00095A57">
          <w:rPr>
            <w:webHidden/>
          </w:rPr>
          <w:fldChar w:fldCharType="end"/>
        </w:r>
      </w:hyperlink>
    </w:p>
    <w:p w14:paraId="24C46345" w14:textId="2BD3A866" w:rsidR="00095A57" w:rsidRDefault="00997114">
      <w:pPr>
        <w:pStyle w:val="21"/>
        <w:tabs>
          <w:tab w:val="right" w:leader="dot" w:pos="9061"/>
        </w:tabs>
        <w:rPr>
          <w:rFonts w:ascii="Calibri" w:hAnsi="Calibri"/>
          <w:noProof/>
          <w:kern w:val="2"/>
        </w:rPr>
      </w:pPr>
      <w:hyperlink w:anchor="_Toc175897251" w:history="1">
        <w:r w:rsidR="00095A57" w:rsidRPr="0015580C">
          <w:rPr>
            <w:rStyle w:val="a3"/>
            <w:noProof/>
          </w:rPr>
          <w:t>Ведомости, 29.08.2024, Дмитрий ГРИНКЕВИЧ, Правительство и ЦБ подготовят план действий по борьбе с инфляцией</w:t>
        </w:r>
        <w:r w:rsidR="00095A57">
          <w:rPr>
            <w:noProof/>
            <w:webHidden/>
          </w:rPr>
          <w:tab/>
        </w:r>
        <w:r w:rsidR="00095A57">
          <w:rPr>
            <w:noProof/>
            <w:webHidden/>
          </w:rPr>
          <w:fldChar w:fldCharType="begin"/>
        </w:r>
        <w:r w:rsidR="00095A57">
          <w:rPr>
            <w:noProof/>
            <w:webHidden/>
          </w:rPr>
          <w:instrText xml:space="preserve"> PAGEREF _Toc175897251 \h </w:instrText>
        </w:r>
        <w:r w:rsidR="00095A57">
          <w:rPr>
            <w:noProof/>
            <w:webHidden/>
          </w:rPr>
        </w:r>
        <w:r w:rsidR="00095A57">
          <w:rPr>
            <w:noProof/>
            <w:webHidden/>
          </w:rPr>
          <w:fldChar w:fldCharType="separate"/>
        </w:r>
        <w:r w:rsidR="00095A57">
          <w:rPr>
            <w:noProof/>
            <w:webHidden/>
          </w:rPr>
          <w:t>39</w:t>
        </w:r>
        <w:r w:rsidR="00095A57">
          <w:rPr>
            <w:noProof/>
            <w:webHidden/>
          </w:rPr>
          <w:fldChar w:fldCharType="end"/>
        </w:r>
      </w:hyperlink>
    </w:p>
    <w:p w14:paraId="1D210AB0" w14:textId="6A3AE698" w:rsidR="00095A57" w:rsidRDefault="00997114">
      <w:pPr>
        <w:pStyle w:val="31"/>
        <w:rPr>
          <w:rFonts w:ascii="Calibri" w:hAnsi="Calibri"/>
          <w:kern w:val="2"/>
        </w:rPr>
      </w:pPr>
      <w:hyperlink w:anchor="_Toc175897252" w:history="1">
        <w:r w:rsidR="00095A57" w:rsidRPr="0015580C">
          <w:rPr>
            <w:rStyle w:val="a3"/>
          </w:rPr>
          <w:t>Правительство и Банк России подготовят совместный план дополнительных действий по борьбе с инфляцией. Об этом «Ведомостям» рассказал высокопоставленный федеральный чиновник. Информацию подтвердили два близких к правительству собеседника. О дискуссии знает также источник, близкий к ЦБ.</w:t>
        </w:r>
        <w:r w:rsidR="00095A57">
          <w:rPr>
            <w:webHidden/>
          </w:rPr>
          <w:tab/>
        </w:r>
        <w:r w:rsidR="00095A57">
          <w:rPr>
            <w:webHidden/>
          </w:rPr>
          <w:fldChar w:fldCharType="begin"/>
        </w:r>
        <w:r w:rsidR="00095A57">
          <w:rPr>
            <w:webHidden/>
          </w:rPr>
          <w:instrText xml:space="preserve"> PAGEREF _Toc175897252 \h </w:instrText>
        </w:r>
        <w:r w:rsidR="00095A57">
          <w:rPr>
            <w:webHidden/>
          </w:rPr>
        </w:r>
        <w:r w:rsidR="00095A57">
          <w:rPr>
            <w:webHidden/>
          </w:rPr>
          <w:fldChar w:fldCharType="separate"/>
        </w:r>
        <w:r w:rsidR="00095A57">
          <w:rPr>
            <w:webHidden/>
          </w:rPr>
          <w:t>39</w:t>
        </w:r>
        <w:r w:rsidR="00095A57">
          <w:rPr>
            <w:webHidden/>
          </w:rPr>
          <w:fldChar w:fldCharType="end"/>
        </w:r>
      </w:hyperlink>
    </w:p>
    <w:p w14:paraId="17A3B365" w14:textId="398813D1" w:rsidR="00095A57" w:rsidRDefault="00997114">
      <w:pPr>
        <w:pStyle w:val="21"/>
        <w:tabs>
          <w:tab w:val="right" w:leader="dot" w:pos="9061"/>
        </w:tabs>
        <w:rPr>
          <w:rFonts w:ascii="Calibri" w:hAnsi="Calibri"/>
          <w:noProof/>
          <w:kern w:val="2"/>
        </w:rPr>
      </w:pPr>
      <w:hyperlink w:anchor="_Toc175897253" w:history="1">
        <w:r w:rsidR="00095A57" w:rsidRPr="0015580C">
          <w:rPr>
            <w:rStyle w:val="a3"/>
            <w:noProof/>
          </w:rPr>
          <w:t>РИА Новости, 29.08.2024, Инфляция в России оказалась невосприимчивой к шокам мировой экономики - Центробанк</w:t>
        </w:r>
        <w:r w:rsidR="00095A57">
          <w:rPr>
            <w:noProof/>
            <w:webHidden/>
          </w:rPr>
          <w:tab/>
        </w:r>
        <w:r w:rsidR="00095A57">
          <w:rPr>
            <w:noProof/>
            <w:webHidden/>
          </w:rPr>
          <w:fldChar w:fldCharType="begin"/>
        </w:r>
        <w:r w:rsidR="00095A57">
          <w:rPr>
            <w:noProof/>
            <w:webHidden/>
          </w:rPr>
          <w:instrText xml:space="preserve"> PAGEREF _Toc175897253 \h </w:instrText>
        </w:r>
        <w:r w:rsidR="00095A57">
          <w:rPr>
            <w:noProof/>
            <w:webHidden/>
          </w:rPr>
        </w:r>
        <w:r w:rsidR="00095A57">
          <w:rPr>
            <w:noProof/>
            <w:webHidden/>
          </w:rPr>
          <w:fldChar w:fldCharType="separate"/>
        </w:r>
        <w:r w:rsidR="00095A57">
          <w:rPr>
            <w:noProof/>
            <w:webHidden/>
          </w:rPr>
          <w:t>44</w:t>
        </w:r>
        <w:r w:rsidR="00095A57">
          <w:rPr>
            <w:noProof/>
            <w:webHidden/>
          </w:rPr>
          <w:fldChar w:fldCharType="end"/>
        </w:r>
      </w:hyperlink>
    </w:p>
    <w:p w14:paraId="7E25D8AB" w14:textId="4AFA84EF" w:rsidR="00095A57" w:rsidRDefault="00997114">
      <w:pPr>
        <w:pStyle w:val="31"/>
        <w:rPr>
          <w:rFonts w:ascii="Calibri" w:hAnsi="Calibri"/>
          <w:kern w:val="2"/>
        </w:rPr>
      </w:pPr>
      <w:hyperlink w:anchor="_Toc175897254" w:history="1">
        <w:r w:rsidR="00095A57" w:rsidRPr="0015580C">
          <w:rPr>
            <w:rStyle w:val="a3"/>
          </w:rPr>
          <w:t>Шоки, потрясения и просто резкие макроэкономические изменения в мировой экономике, включая колебания цен на нефть, повлияли на отечественную инфляцию несильно, более того, в текущем году это воздействие снижается, оценивает Банк России.</w:t>
        </w:r>
        <w:r w:rsidR="00095A57">
          <w:rPr>
            <w:webHidden/>
          </w:rPr>
          <w:tab/>
        </w:r>
        <w:r w:rsidR="00095A57">
          <w:rPr>
            <w:webHidden/>
          </w:rPr>
          <w:fldChar w:fldCharType="begin"/>
        </w:r>
        <w:r w:rsidR="00095A57">
          <w:rPr>
            <w:webHidden/>
          </w:rPr>
          <w:instrText xml:space="preserve"> PAGEREF _Toc175897254 \h </w:instrText>
        </w:r>
        <w:r w:rsidR="00095A57">
          <w:rPr>
            <w:webHidden/>
          </w:rPr>
        </w:r>
        <w:r w:rsidR="00095A57">
          <w:rPr>
            <w:webHidden/>
          </w:rPr>
          <w:fldChar w:fldCharType="separate"/>
        </w:r>
        <w:r w:rsidR="00095A57">
          <w:rPr>
            <w:webHidden/>
          </w:rPr>
          <w:t>44</w:t>
        </w:r>
        <w:r w:rsidR="00095A57">
          <w:rPr>
            <w:webHidden/>
          </w:rPr>
          <w:fldChar w:fldCharType="end"/>
        </w:r>
      </w:hyperlink>
    </w:p>
    <w:p w14:paraId="0CF6140E" w14:textId="382FF629" w:rsidR="00095A57" w:rsidRDefault="00997114">
      <w:pPr>
        <w:pStyle w:val="21"/>
        <w:tabs>
          <w:tab w:val="right" w:leader="dot" w:pos="9061"/>
        </w:tabs>
        <w:rPr>
          <w:rFonts w:ascii="Calibri" w:hAnsi="Calibri"/>
          <w:noProof/>
          <w:kern w:val="2"/>
        </w:rPr>
      </w:pPr>
      <w:hyperlink w:anchor="_Toc175897255" w:history="1">
        <w:r w:rsidR="00095A57" w:rsidRPr="0015580C">
          <w:rPr>
            <w:rStyle w:val="a3"/>
            <w:noProof/>
          </w:rPr>
          <w:t>РИА Новости, 29.08.2024, ЦБ РФ оценит целесообразность снижения цели по инфляции, но оно возможно не ранее 2028 г</w:t>
        </w:r>
        <w:r w:rsidR="00095A57">
          <w:rPr>
            <w:noProof/>
            <w:webHidden/>
          </w:rPr>
          <w:tab/>
        </w:r>
        <w:r w:rsidR="00095A57">
          <w:rPr>
            <w:noProof/>
            <w:webHidden/>
          </w:rPr>
          <w:fldChar w:fldCharType="begin"/>
        </w:r>
        <w:r w:rsidR="00095A57">
          <w:rPr>
            <w:noProof/>
            <w:webHidden/>
          </w:rPr>
          <w:instrText xml:space="preserve"> PAGEREF _Toc175897255 \h </w:instrText>
        </w:r>
        <w:r w:rsidR="00095A57">
          <w:rPr>
            <w:noProof/>
            <w:webHidden/>
          </w:rPr>
        </w:r>
        <w:r w:rsidR="00095A57">
          <w:rPr>
            <w:noProof/>
            <w:webHidden/>
          </w:rPr>
          <w:fldChar w:fldCharType="separate"/>
        </w:r>
        <w:r w:rsidR="00095A57">
          <w:rPr>
            <w:noProof/>
            <w:webHidden/>
          </w:rPr>
          <w:t>44</w:t>
        </w:r>
        <w:r w:rsidR="00095A57">
          <w:rPr>
            <w:noProof/>
            <w:webHidden/>
          </w:rPr>
          <w:fldChar w:fldCharType="end"/>
        </w:r>
      </w:hyperlink>
    </w:p>
    <w:p w14:paraId="576C2158" w14:textId="5A4FEECA" w:rsidR="00095A57" w:rsidRDefault="00997114">
      <w:pPr>
        <w:pStyle w:val="31"/>
        <w:rPr>
          <w:rFonts w:ascii="Calibri" w:hAnsi="Calibri"/>
          <w:kern w:val="2"/>
        </w:rPr>
      </w:pPr>
      <w:hyperlink w:anchor="_Toc175897256" w:history="1">
        <w:r w:rsidR="00095A57" w:rsidRPr="0015580C">
          <w:rPr>
            <w:rStyle w:val="a3"/>
          </w:rPr>
          <w:t>Банк России оценит целесообразность снижения цели по инфляции после ее замедления и стабилизации вблизи 4%, при этом снижение цели возможно не ранее 2028 года, говорится в докладе регулятора об основных направлениях денежно-кредитной политики (ДКП) на 2025 год и период 2026-2027 годов.</w:t>
        </w:r>
        <w:r w:rsidR="00095A57">
          <w:rPr>
            <w:webHidden/>
          </w:rPr>
          <w:tab/>
        </w:r>
        <w:r w:rsidR="00095A57">
          <w:rPr>
            <w:webHidden/>
          </w:rPr>
          <w:fldChar w:fldCharType="begin"/>
        </w:r>
        <w:r w:rsidR="00095A57">
          <w:rPr>
            <w:webHidden/>
          </w:rPr>
          <w:instrText xml:space="preserve"> PAGEREF _Toc175897256 \h </w:instrText>
        </w:r>
        <w:r w:rsidR="00095A57">
          <w:rPr>
            <w:webHidden/>
          </w:rPr>
        </w:r>
        <w:r w:rsidR="00095A57">
          <w:rPr>
            <w:webHidden/>
          </w:rPr>
          <w:fldChar w:fldCharType="separate"/>
        </w:r>
        <w:r w:rsidR="00095A57">
          <w:rPr>
            <w:webHidden/>
          </w:rPr>
          <w:t>44</w:t>
        </w:r>
        <w:r w:rsidR="00095A57">
          <w:rPr>
            <w:webHidden/>
          </w:rPr>
          <w:fldChar w:fldCharType="end"/>
        </w:r>
      </w:hyperlink>
    </w:p>
    <w:p w14:paraId="6A481903" w14:textId="35235175" w:rsidR="00095A57" w:rsidRDefault="00997114">
      <w:pPr>
        <w:pStyle w:val="21"/>
        <w:tabs>
          <w:tab w:val="right" w:leader="dot" w:pos="9061"/>
        </w:tabs>
        <w:rPr>
          <w:rFonts w:ascii="Calibri" w:hAnsi="Calibri"/>
          <w:noProof/>
          <w:kern w:val="2"/>
        </w:rPr>
      </w:pPr>
      <w:hyperlink w:anchor="_Toc175897257" w:history="1">
        <w:r w:rsidR="00095A57" w:rsidRPr="0015580C">
          <w:rPr>
            <w:rStyle w:val="a3"/>
            <w:noProof/>
          </w:rPr>
          <w:t>РИА Новости, 29.08.2024, «Потолка» жесткости ДКП для достижения цели по инфляции у Банка России нет - Заботкин</w:t>
        </w:r>
        <w:r w:rsidR="00095A57">
          <w:rPr>
            <w:noProof/>
            <w:webHidden/>
          </w:rPr>
          <w:tab/>
        </w:r>
        <w:r w:rsidR="00095A57">
          <w:rPr>
            <w:noProof/>
            <w:webHidden/>
          </w:rPr>
          <w:fldChar w:fldCharType="begin"/>
        </w:r>
        <w:r w:rsidR="00095A57">
          <w:rPr>
            <w:noProof/>
            <w:webHidden/>
          </w:rPr>
          <w:instrText xml:space="preserve"> PAGEREF _Toc175897257 \h </w:instrText>
        </w:r>
        <w:r w:rsidR="00095A57">
          <w:rPr>
            <w:noProof/>
            <w:webHidden/>
          </w:rPr>
        </w:r>
        <w:r w:rsidR="00095A57">
          <w:rPr>
            <w:noProof/>
            <w:webHidden/>
          </w:rPr>
          <w:fldChar w:fldCharType="separate"/>
        </w:r>
        <w:r w:rsidR="00095A57">
          <w:rPr>
            <w:noProof/>
            <w:webHidden/>
          </w:rPr>
          <w:t>44</w:t>
        </w:r>
        <w:r w:rsidR="00095A57">
          <w:rPr>
            <w:noProof/>
            <w:webHidden/>
          </w:rPr>
          <w:fldChar w:fldCharType="end"/>
        </w:r>
      </w:hyperlink>
    </w:p>
    <w:p w14:paraId="6AF48571" w14:textId="6426D10C" w:rsidR="00095A57" w:rsidRDefault="00997114">
      <w:pPr>
        <w:pStyle w:val="31"/>
        <w:rPr>
          <w:rFonts w:ascii="Calibri" w:hAnsi="Calibri"/>
          <w:kern w:val="2"/>
        </w:rPr>
      </w:pPr>
      <w:hyperlink w:anchor="_Toc175897258" w:history="1">
        <w:r w:rsidR="00095A57" w:rsidRPr="0015580C">
          <w:rPr>
            <w:rStyle w:val="a3"/>
          </w:rPr>
          <w:t>«Потолка» жесткости денежно-кредитной политики для достижения таргета по инфляции у Банка России нет, заявил на пресс-конференции зампред ЦБ РФ Алексей Заботкин.</w:t>
        </w:r>
        <w:r w:rsidR="00095A57">
          <w:rPr>
            <w:webHidden/>
          </w:rPr>
          <w:tab/>
        </w:r>
        <w:r w:rsidR="00095A57">
          <w:rPr>
            <w:webHidden/>
          </w:rPr>
          <w:fldChar w:fldCharType="begin"/>
        </w:r>
        <w:r w:rsidR="00095A57">
          <w:rPr>
            <w:webHidden/>
          </w:rPr>
          <w:instrText xml:space="preserve"> PAGEREF _Toc175897258 \h </w:instrText>
        </w:r>
        <w:r w:rsidR="00095A57">
          <w:rPr>
            <w:webHidden/>
          </w:rPr>
        </w:r>
        <w:r w:rsidR="00095A57">
          <w:rPr>
            <w:webHidden/>
          </w:rPr>
          <w:fldChar w:fldCharType="separate"/>
        </w:r>
        <w:r w:rsidR="00095A57">
          <w:rPr>
            <w:webHidden/>
          </w:rPr>
          <w:t>44</w:t>
        </w:r>
        <w:r w:rsidR="00095A57">
          <w:rPr>
            <w:webHidden/>
          </w:rPr>
          <w:fldChar w:fldCharType="end"/>
        </w:r>
      </w:hyperlink>
    </w:p>
    <w:p w14:paraId="41B03BD5" w14:textId="1BF64A5A" w:rsidR="00095A57" w:rsidRDefault="00997114">
      <w:pPr>
        <w:pStyle w:val="21"/>
        <w:tabs>
          <w:tab w:val="right" w:leader="dot" w:pos="9061"/>
        </w:tabs>
        <w:rPr>
          <w:rFonts w:ascii="Calibri" w:hAnsi="Calibri"/>
          <w:noProof/>
          <w:kern w:val="2"/>
        </w:rPr>
      </w:pPr>
      <w:hyperlink w:anchor="_Toc175897259" w:history="1">
        <w:r w:rsidR="00095A57" w:rsidRPr="0015580C">
          <w:rPr>
            <w:rStyle w:val="a3"/>
            <w:noProof/>
          </w:rPr>
          <w:t>РИА Новости, 29.08.2024, ЦБ РФ в одном из прогнозов видит риски исчерпания ликвидной части ФНБ в течение 2025 г</w:t>
        </w:r>
        <w:r w:rsidR="00095A57">
          <w:rPr>
            <w:noProof/>
            <w:webHidden/>
          </w:rPr>
          <w:tab/>
        </w:r>
        <w:r w:rsidR="00095A57">
          <w:rPr>
            <w:noProof/>
            <w:webHidden/>
          </w:rPr>
          <w:fldChar w:fldCharType="begin"/>
        </w:r>
        <w:r w:rsidR="00095A57">
          <w:rPr>
            <w:noProof/>
            <w:webHidden/>
          </w:rPr>
          <w:instrText xml:space="preserve"> PAGEREF _Toc175897259 \h </w:instrText>
        </w:r>
        <w:r w:rsidR="00095A57">
          <w:rPr>
            <w:noProof/>
            <w:webHidden/>
          </w:rPr>
        </w:r>
        <w:r w:rsidR="00095A57">
          <w:rPr>
            <w:noProof/>
            <w:webHidden/>
          </w:rPr>
          <w:fldChar w:fldCharType="separate"/>
        </w:r>
        <w:r w:rsidR="00095A57">
          <w:rPr>
            <w:noProof/>
            <w:webHidden/>
          </w:rPr>
          <w:t>45</w:t>
        </w:r>
        <w:r w:rsidR="00095A57">
          <w:rPr>
            <w:noProof/>
            <w:webHidden/>
          </w:rPr>
          <w:fldChar w:fldCharType="end"/>
        </w:r>
      </w:hyperlink>
    </w:p>
    <w:p w14:paraId="20F436EB" w14:textId="354F317C" w:rsidR="00095A57" w:rsidRDefault="00997114">
      <w:pPr>
        <w:pStyle w:val="31"/>
        <w:rPr>
          <w:rFonts w:ascii="Calibri" w:hAnsi="Calibri"/>
          <w:kern w:val="2"/>
        </w:rPr>
      </w:pPr>
      <w:hyperlink w:anchor="_Toc175897260" w:history="1">
        <w:r w:rsidR="00095A57" w:rsidRPr="0015580C">
          <w:rPr>
            <w:rStyle w:val="a3"/>
          </w:rPr>
          <w:t>Банк России в рисковом прогнозном сценарии предполагает, что в результате вероятного глобального кризиса и ухудшения отношений между США и Китаем цены на нефть упадут и придётся активного использовать ликвидную часть Фонда национального благосостояния) ФНБ, которая в течение следующего года окажется исчерпанной, говорится в опубликованном ЦБ проекте «Основных направлений единой государственной денежно-кредитной политики».</w:t>
        </w:r>
        <w:r w:rsidR="00095A57">
          <w:rPr>
            <w:webHidden/>
          </w:rPr>
          <w:tab/>
        </w:r>
        <w:r w:rsidR="00095A57">
          <w:rPr>
            <w:webHidden/>
          </w:rPr>
          <w:fldChar w:fldCharType="begin"/>
        </w:r>
        <w:r w:rsidR="00095A57">
          <w:rPr>
            <w:webHidden/>
          </w:rPr>
          <w:instrText xml:space="preserve"> PAGEREF _Toc175897260 \h </w:instrText>
        </w:r>
        <w:r w:rsidR="00095A57">
          <w:rPr>
            <w:webHidden/>
          </w:rPr>
        </w:r>
        <w:r w:rsidR="00095A57">
          <w:rPr>
            <w:webHidden/>
          </w:rPr>
          <w:fldChar w:fldCharType="separate"/>
        </w:r>
        <w:r w:rsidR="00095A57">
          <w:rPr>
            <w:webHidden/>
          </w:rPr>
          <w:t>45</w:t>
        </w:r>
        <w:r w:rsidR="00095A57">
          <w:rPr>
            <w:webHidden/>
          </w:rPr>
          <w:fldChar w:fldCharType="end"/>
        </w:r>
      </w:hyperlink>
    </w:p>
    <w:p w14:paraId="53EB955C" w14:textId="11718060" w:rsidR="00095A57" w:rsidRDefault="00997114">
      <w:pPr>
        <w:pStyle w:val="12"/>
        <w:tabs>
          <w:tab w:val="right" w:leader="dot" w:pos="9061"/>
        </w:tabs>
        <w:rPr>
          <w:rFonts w:ascii="Calibri" w:hAnsi="Calibri"/>
          <w:b w:val="0"/>
          <w:noProof/>
          <w:kern w:val="2"/>
          <w:sz w:val="24"/>
        </w:rPr>
      </w:pPr>
      <w:hyperlink w:anchor="_Toc175897261" w:history="1">
        <w:r w:rsidR="00095A57" w:rsidRPr="0015580C">
          <w:rPr>
            <w:rStyle w:val="a3"/>
            <w:noProof/>
          </w:rPr>
          <w:t>НОВОСТИ ЗАРУБЕЖНЫХ ПЕНСИОННЫХ СИСТЕМ</w:t>
        </w:r>
        <w:r w:rsidR="00095A57">
          <w:rPr>
            <w:noProof/>
            <w:webHidden/>
          </w:rPr>
          <w:tab/>
        </w:r>
        <w:r w:rsidR="00095A57">
          <w:rPr>
            <w:noProof/>
            <w:webHidden/>
          </w:rPr>
          <w:fldChar w:fldCharType="begin"/>
        </w:r>
        <w:r w:rsidR="00095A57">
          <w:rPr>
            <w:noProof/>
            <w:webHidden/>
          </w:rPr>
          <w:instrText xml:space="preserve"> PAGEREF _Toc175897261 \h </w:instrText>
        </w:r>
        <w:r w:rsidR="00095A57">
          <w:rPr>
            <w:noProof/>
            <w:webHidden/>
          </w:rPr>
        </w:r>
        <w:r w:rsidR="00095A57">
          <w:rPr>
            <w:noProof/>
            <w:webHidden/>
          </w:rPr>
          <w:fldChar w:fldCharType="separate"/>
        </w:r>
        <w:r w:rsidR="00095A57">
          <w:rPr>
            <w:noProof/>
            <w:webHidden/>
          </w:rPr>
          <w:t>46</w:t>
        </w:r>
        <w:r w:rsidR="00095A57">
          <w:rPr>
            <w:noProof/>
            <w:webHidden/>
          </w:rPr>
          <w:fldChar w:fldCharType="end"/>
        </w:r>
      </w:hyperlink>
    </w:p>
    <w:p w14:paraId="0FCDC8E9" w14:textId="256FDEEE" w:rsidR="00095A57" w:rsidRDefault="00997114">
      <w:pPr>
        <w:pStyle w:val="12"/>
        <w:tabs>
          <w:tab w:val="right" w:leader="dot" w:pos="9061"/>
        </w:tabs>
        <w:rPr>
          <w:rFonts w:ascii="Calibri" w:hAnsi="Calibri"/>
          <w:b w:val="0"/>
          <w:noProof/>
          <w:kern w:val="2"/>
          <w:sz w:val="24"/>
        </w:rPr>
      </w:pPr>
      <w:hyperlink w:anchor="_Toc175897262" w:history="1">
        <w:r w:rsidR="00095A57" w:rsidRPr="0015580C">
          <w:rPr>
            <w:rStyle w:val="a3"/>
            <w:noProof/>
          </w:rPr>
          <w:t>Новости пенсионной отрасли стран ближнего зарубежья</w:t>
        </w:r>
        <w:r w:rsidR="00095A57">
          <w:rPr>
            <w:noProof/>
            <w:webHidden/>
          </w:rPr>
          <w:tab/>
        </w:r>
        <w:r w:rsidR="00095A57">
          <w:rPr>
            <w:noProof/>
            <w:webHidden/>
          </w:rPr>
          <w:fldChar w:fldCharType="begin"/>
        </w:r>
        <w:r w:rsidR="00095A57">
          <w:rPr>
            <w:noProof/>
            <w:webHidden/>
          </w:rPr>
          <w:instrText xml:space="preserve"> PAGEREF _Toc175897262 \h </w:instrText>
        </w:r>
        <w:r w:rsidR="00095A57">
          <w:rPr>
            <w:noProof/>
            <w:webHidden/>
          </w:rPr>
        </w:r>
        <w:r w:rsidR="00095A57">
          <w:rPr>
            <w:noProof/>
            <w:webHidden/>
          </w:rPr>
          <w:fldChar w:fldCharType="separate"/>
        </w:r>
        <w:r w:rsidR="00095A57">
          <w:rPr>
            <w:noProof/>
            <w:webHidden/>
          </w:rPr>
          <w:t>46</w:t>
        </w:r>
        <w:r w:rsidR="00095A57">
          <w:rPr>
            <w:noProof/>
            <w:webHidden/>
          </w:rPr>
          <w:fldChar w:fldCharType="end"/>
        </w:r>
      </w:hyperlink>
    </w:p>
    <w:p w14:paraId="64A147FE" w14:textId="697735F3" w:rsidR="00095A57" w:rsidRDefault="00997114">
      <w:pPr>
        <w:pStyle w:val="21"/>
        <w:tabs>
          <w:tab w:val="right" w:leader="dot" w:pos="9061"/>
        </w:tabs>
        <w:rPr>
          <w:rFonts w:ascii="Calibri" w:hAnsi="Calibri"/>
          <w:noProof/>
          <w:kern w:val="2"/>
        </w:rPr>
      </w:pPr>
      <w:hyperlink w:anchor="_Toc175897263" w:history="1">
        <w:r w:rsidR="00095A57" w:rsidRPr="0015580C">
          <w:rPr>
            <w:rStyle w:val="a3"/>
            <w:noProof/>
          </w:rPr>
          <w:t>Курсив, 29.08.2024, Нацбанк предложил сократить изъятия пенсионных накоплений из ЕНПФ</w:t>
        </w:r>
        <w:r w:rsidR="00095A57">
          <w:rPr>
            <w:noProof/>
            <w:webHidden/>
          </w:rPr>
          <w:tab/>
        </w:r>
        <w:r w:rsidR="00095A57">
          <w:rPr>
            <w:noProof/>
            <w:webHidden/>
          </w:rPr>
          <w:fldChar w:fldCharType="begin"/>
        </w:r>
        <w:r w:rsidR="00095A57">
          <w:rPr>
            <w:noProof/>
            <w:webHidden/>
          </w:rPr>
          <w:instrText xml:space="preserve"> PAGEREF _Toc175897263 \h </w:instrText>
        </w:r>
        <w:r w:rsidR="00095A57">
          <w:rPr>
            <w:noProof/>
            <w:webHidden/>
          </w:rPr>
        </w:r>
        <w:r w:rsidR="00095A57">
          <w:rPr>
            <w:noProof/>
            <w:webHidden/>
          </w:rPr>
          <w:fldChar w:fldCharType="separate"/>
        </w:r>
        <w:r w:rsidR="00095A57">
          <w:rPr>
            <w:noProof/>
            <w:webHidden/>
          </w:rPr>
          <w:t>46</w:t>
        </w:r>
        <w:r w:rsidR="00095A57">
          <w:rPr>
            <w:noProof/>
            <w:webHidden/>
          </w:rPr>
          <w:fldChar w:fldCharType="end"/>
        </w:r>
      </w:hyperlink>
    </w:p>
    <w:p w14:paraId="1A53C1B4" w14:textId="22EAAA86" w:rsidR="00095A57" w:rsidRDefault="00997114">
      <w:pPr>
        <w:pStyle w:val="31"/>
        <w:rPr>
          <w:rFonts w:ascii="Calibri" w:hAnsi="Calibri"/>
          <w:kern w:val="2"/>
        </w:rPr>
      </w:pPr>
      <w:hyperlink w:anchor="_Toc175897264" w:history="1">
        <w:r w:rsidR="00095A57" w:rsidRPr="0015580C">
          <w:rPr>
            <w:rStyle w:val="a3"/>
          </w:rPr>
          <w:t>Рабочая группа по реформированию пенсионной системы рассматривает возможность ограничить снятия пенсионных накоплений из ЕНПФ. Об этом на пресс-брифинге сообщил глава Нацбанка Тимур Сулейменов.</w:t>
        </w:r>
        <w:r w:rsidR="00095A57">
          <w:rPr>
            <w:webHidden/>
          </w:rPr>
          <w:tab/>
        </w:r>
        <w:r w:rsidR="00095A57">
          <w:rPr>
            <w:webHidden/>
          </w:rPr>
          <w:fldChar w:fldCharType="begin"/>
        </w:r>
        <w:r w:rsidR="00095A57">
          <w:rPr>
            <w:webHidden/>
          </w:rPr>
          <w:instrText xml:space="preserve"> PAGEREF _Toc175897264 \h </w:instrText>
        </w:r>
        <w:r w:rsidR="00095A57">
          <w:rPr>
            <w:webHidden/>
          </w:rPr>
        </w:r>
        <w:r w:rsidR="00095A57">
          <w:rPr>
            <w:webHidden/>
          </w:rPr>
          <w:fldChar w:fldCharType="separate"/>
        </w:r>
        <w:r w:rsidR="00095A57">
          <w:rPr>
            <w:webHidden/>
          </w:rPr>
          <w:t>46</w:t>
        </w:r>
        <w:r w:rsidR="00095A57">
          <w:rPr>
            <w:webHidden/>
          </w:rPr>
          <w:fldChar w:fldCharType="end"/>
        </w:r>
      </w:hyperlink>
    </w:p>
    <w:p w14:paraId="1A3AD57C" w14:textId="267458A5" w:rsidR="00095A57" w:rsidRDefault="00997114">
      <w:pPr>
        <w:pStyle w:val="21"/>
        <w:tabs>
          <w:tab w:val="right" w:leader="dot" w:pos="9061"/>
        </w:tabs>
        <w:rPr>
          <w:rFonts w:ascii="Calibri" w:hAnsi="Calibri"/>
          <w:noProof/>
          <w:kern w:val="2"/>
        </w:rPr>
      </w:pPr>
      <w:hyperlink w:anchor="_Toc175897265" w:history="1">
        <w:r w:rsidR="00095A57" w:rsidRPr="0015580C">
          <w:rPr>
            <w:rStyle w:val="a3"/>
            <w:noProof/>
          </w:rPr>
          <w:t>Azattyq Rýhy, 29.08.2024, Лечение зубов за счет пенсионных накоплений: опубликованы обновленные правила</w:t>
        </w:r>
        <w:r w:rsidR="00095A57">
          <w:rPr>
            <w:noProof/>
            <w:webHidden/>
          </w:rPr>
          <w:tab/>
        </w:r>
        <w:r w:rsidR="00095A57">
          <w:rPr>
            <w:noProof/>
            <w:webHidden/>
          </w:rPr>
          <w:fldChar w:fldCharType="begin"/>
        </w:r>
        <w:r w:rsidR="00095A57">
          <w:rPr>
            <w:noProof/>
            <w:webHidden/>
          </w:rPr>
          <w:instrText xml:space="preserve"> PAGEREF _Toc175897265 \h </w:instrText>
        </w:r>
        <w:r w:rsidR="00095A57">
          <w:rPr>
            <w:noProof/>
            <w:webHidden/>
          </w:rPr>
        </w:r>
        <w:r w:rsidR="00095A57">
          <w:rPr>
            <w:noProof/>
            <w:webHidden/>
          </w:rPr>
          <w:fldChar w:fldCharType="separate"/>
        </w:r>
        <w:r w:rsidR="00095A57">
          <w:rPr>
            <w:noProof/>
            <w:webHidden/>
          </w:rPr>
          <w:t>47</w:t>
        </w:r>
        <w:r w:rsidR="00095A57">
          <w:rPr>
            <w:noProof/>
            <w:webHidden/>
          </w:rPr>
          <w:fldChar w:fldCharType="end"/>
        </w:r>
      </w:hyperlink>
    </w:p>
    <w:p w14:paraId="5E1CA746" w14:textId="0B47E390" w:rsidR="00095A57" w:rsidRDefault="00997114">
      <w:pPr>
        <w:pStyle w:val="31"/>
        <w:rPr>
          <w:rFonts w:ascii="Calibri" w:hAnsi="Calibri"/>
          <w:kern w:val="2"/>
        </w:rPr>
      </w:pPr>
      <w:hyperlink w:anchor="_Toc175897266" w:history="1">
        <w:r w:rsidR="00095A57" w:rsidRPr="0015580C">
          <w:rPr>
            <w:rStyle w:val="a3"/>
          </w:rPr>
          <w:t>Министерство здравоохранения РК предлагает внести изменения и дополнения в правила использования единовременных пенсионных выплат на лечение. Соответствующий проект приказа ведомства размещен на портале «Открытые НПА», передает Azattyq Rýhy.</w:t>
        </w:r>
        <w:r w:rsidR="00095A57">
          <w:rPr>
            <w:webHidden/>
          </w:rPr>
          <w:tab/>
        </w:r>
        <w:r w:rsidR="00095A57">
          <w:rPr>
            <w:webHidden/>
          </w:rPr>
          <w:fldChar w:fldCharType="begin"/>
        </w:r>
        <w:r w:rsidR="00095A57">
          <w:rPr>
            <w:webHidden/>
          </w:rPr>
          <w:instrText xml:space="preserve"> PAGEREF _Toc175897266 \h </w:instrText>
        </w:r>
        <w:r w:rsidR="00095A57">
          <w:rPr>
            <w:webHidden/>
          </w:rPr>
        </w:r>
        <w:r w:rsidR="00095A57">
          <w:rPr>
            <w:webHidden/>
          </w:rPr>
          <w:fldChar w:fldCharType="separate"/>
        </w:r>
        <w:r w:rsidR="00095A57">
          <w:rPr>
            <w:webHidden/>
          </w:rPr>
          <w:t>47</w:t>
        </w:r>
        <w:r w:rsidR="00095A57">
          <w:rPr>
            <w:webHidden/>
          </w:rPr>
          <w:fldChar w:fldCharType="end"/>
        </w:r>
      </w:hyperlink>
    </w:p>
    <w:p w14:paraId="0C4A0F3C" w14:textId="78B6EFCB" w:rsidR="00095A57" w:rsidRDefault="00997114">
      <w:pPr>
        <w:pStyle w:val="21"/>
        <w:tabs>
          <w:tab w:val="right" w:leader="dot" w:pos="9061"/>
        </w:tabs>
        <w:rPr>
          <w:rFonts w:ascii="Calibri" w:hAnsi="Calibri"/>
          <w:noProof/>
          <w:kern w:val="2"/>
        </w:rPr>
      </w:pPr>
      <w:hyperlink w:anchor="_Toc175897267" w:history="1">
        <w:r w:rsidR="00095A57" w:rsidRPr="0015580C">
          <w:rPr>
            <w:rStyle w:val="a3"/>
            <w:noProof/>
          </w:rPr>
          <w:t>Total.kz, 29.08.2024, Инвестиционный доход ЕНПФ превысил 1,38 триллиона тенге</w:t>
        </w:r>
        <w:r w:rsidR="00095A57">
          <w:rPr>
            <w:noProof/>
            <w:webHidden/>
          </w:rPr>
          <w:tab/>
        </w:r>
        <w:r w:rsidR="00095A57">
          <w:rPr>
            <w:noProof/>
            <w:webHidden/>
          </w:rPr>
          <w:fldChar w:fldCharType="begin"/>
        </w:r>
        <w:r w:rsidR="00095A57">
          <w:rPr>
            <w:noProof/>
            <w:webHidden/>
          </w:rPr>
          <w:instrText xml:space="preserve"> PAGEREF _Toc175897267 \h </w:instrText>
        </w:r>
        <w:r w:rsidR="00095A57">
          <w:rPr>
            <w:noProof/>
            <w:webHidden/>
          </w:rPr>
        </w:r>
        <w:r w:rsidR="00095A57">
          <w:rPr>
            <w:noProof/>
            <w:webHidden/>
          </w:rPr>
          <w:fldChar w:fldCharType="separate"/>
        </w:r>
        <w:r w:rsidR="00095A57">
          <w:rPr>
            <w:noProof/>
            <w:webHidden/>
          </w:rPr>
          <w:t>48</w:t>
        </w:r>
        <w:r w:rsidR="00095A57">
          <w:rPr>
            <w:noProof/>
            <w:webHidden/>
          </w:rPr>
          <w:fldChar w:fldCharType="end"/>
        </w:r>
      </w:hyperlink>
    </w:p>
    <w:p w14:paraId="10372C5E" w14:textId="1778F92D" w:rsidR="00095A57" w:rsidRDefault="00997114">
      <w:pPr>
        <w:pStyle w:val="31"/>
        <w:rPr>
          <w:rFonts w:ascii="Calibri" w:hAnsi="Calibri"/>
          <w:kern w:val="2"/>
        </w:rPr>
      </w:pPr>
      <w:hyperlink w:anchor="_Toc175897268" w:history="1">
        <w:r w:rsidR="00095A57" w:rsidRPr="0015580C">
          <w:rPr>
            <w:rStyle w:val="a3"/>
          </w:rPr>
          <w:t>За 7 месяцев 2024 года чистый инвестиционный доход Единого пенсионного фонда превысил 1,38 триллиона тенге, что больше на 619,3 миллиарда тенге, или 81,4 % показателя аналогичного периода прошлого года, сообщает Total.kz.</w:t>
        </w:r>
        <w:r w:rsidR="00095A57">
          <w:rPr>
            <w:webHidden/>
          </w:rPr>
          <w:tab/>
        </w:r>
        <w:r w:rsidR="00095A57">
          <w:rPr>
            <w:webHidden/>
          </w:rPr>
          <w:fldChar w:fldCharType="begin"/>
        </w:r>
        <w:r w:rsidR="00095A57">
          <w:rPr>
            <w:webHidden/>
          </w:rPr>
          <w:instrText xml:space="preserve"> PAGEREF _Toc175897268 \h </w:instrText>
        </w:r>
        <w:r w:rsidR="00095A57">
          <w:rPr>
            <w:webHidden/>
          </w:rPr>
        </w:r>
        <w:r w:rsidR="00095A57">
          <w:rPr>
            <w:webHidden/>
          </w:rPr>
          <w:fldChar w:fldCharType="separate"/>
        </w:r>
        <w:r w:rsidR="00095A57">
          <w:rPr>
            <w:webHidden/>
          </w:rPr>
          <w:t>48</w:t>
        </w:r>
        <w:r w:rsidR="00095A57">
          <w:rPr>
            <w:webHidden/>
          </w:rPr>
          <w:fldChar w:fldCharType="end"/>
        </w:r>
      </w:hyperlink>
    </w:p>
    <w:p w14:paraId="2FADD523" w14:textId="2999C513" w:rsidR="00095A57" w:rsidRDefault="00997114">
      <w:pPr>
        <w:pStyle w:val="12"/>
        <w:tabs>
          <w:tab w:val="right" w:leader="dot" w:pos="9061"/>
        </w:tabs>
        <w:rPr>
          <w:rFonts w:ascii="Calibri" w:hAnsi="Calibri"/>
          <w:b w:val="0"/>
          <w:noProof/>
          <w:kern w:val="2"/>
          <w:sz w:val="24"/>
        </w:rPr>
      </w:pPr>
      <w:hyperlink w:anchor="_Toc175897269" w:history="1">
        <w:r w:rsidR="00095A57" w:rsidRPr="0015580C">
          <w:rPr>
            <w:rStyle w:val="a3"/>
            <w:noProof/>
          </w:rPr>
          <w:t>Новости пенсионной отрасли стран дальнего зарубежья</w:t>
        </w:r>
        <w:r w:rsidR="00095A57">
          <w:rPr>
            <w:noProof/>
            <w:webHidden/>
          </w:rPr>
          <w:tab/>
        </w:r>
        <w:r w:rsidR="00095A57">
          <w:rPr>
            <w:noProof/>
            <w:webHidden/>
          </w:rPr>
          <w:fldChar w:fldCharType="begin"/>
        </w:r>
        <w:r w:rsidR="00095A57">
          <w:rPr>
            <w:noProof/>
            <w:webHidden/>
          </w:rPr>
          <w:instrText xml:space="preserve"> PAGEREF _Toc175897269 \h </w:instrText>
        </w:r>
        <w:r w:rsidR="00095A57">
          <w:rPr>
            <w:noProof/>
            <w:webHidden/>
          </w:rPr>
        </w:r>
        <w:r w:rsidR="00095A57">
          <w:rPr>
            <w:noProof/>
            <w:webHidden/>
          </w:rPr>
          <w:fldChar w:fldCharType="separate"/>
        </w:r>
        <w:r w:rsidR="00095A57">
          <w:rPr>
            <w:noProof/>
            <w:webHidden/>
          </w:rPr>
          <w:t>49</w:t>
        </w:r>
        <w:r w:rsidR="00095A57">
          <w:rPr>
            <w:noProof/>
            <w:webHidden/>
          </w:rPr>
          <w:fldChar w:fldCharType="end"/>
        </w:r>
      </w:hyperlink>
    </w:p>
    <w:p w14:paraId="3AD66207" w14:textId="22E5F1A8" w:rsidR="00095A57" w:rsidRDefault="00997114">
      <w:pPr>
        <w:pStyle w:val="21"/>
        <w:tabs>
          <w:tab w:val="right" w:leader="dot" w:pos="9061"/>
        </w:tabs>
        <w:rPr>
          <w:rFonts w:ascii="Calibri" w:hAnsi="Calibri"/>
          <w:noProof/>
          <w:kern w:val="2"/>
        </w:rPr>
      </w:pPr>
      <w:hyperlink w:anchor="_Toc175897270" w:history="1">
        <w:r w:rsidR="00095A57" w:rsidRPr="0015580C">
          <w:rPr>
            <w:rStyle w:val="a3"/>
            <w:noProof/>
          </w:rPr>
          <w:t>Пенсия.pro, 29.08.2024, Австралийский пенсионный фонд вложит миллиарды долларов в покупку энергетической компании</w:t>
        </w:r>
        <w:r w:rsidR="00095A57">
          <w:rPr>
            <w:noProof/>
            <w:webHidden/>
          </w:rPr>
          <w:tab/>
        </w:r>
        <w:r w:rsidR="00095A57">
          <w:rPr>
            <w:noProof/>
            <w:webHidden/>
          </w:rPr>
          <w:fldChar w:fldCharType="begin"/>
        </w:r>
        <w:r w:rsidR="00095A57">
          <w:rPr>
            <w:noProof/>
            <w:webHidden/>
          </w:rPr>
          <w:instrText xml:space="preserve"> PAGEREF _Toc175897270 \h </w:instrText>
        </w:r>
        <w:r w:rsidR="00095A57">
          <w:rPr>
            <w:noProof/>
            <w:webHidden/>
          </w:rPr>
        </w:r>
        <w:r w:rsidR="00095A57">
          <w:rPr>
            <w:noProof/>
            <w:webHidden/>
          </w:rPr>
          <w:fldChar w:fldCharType="separate"/>
        </w:r>
        <w:r w:rsidR="00095A57">
          <w:rPr>
            <w:noProof/>
            <w:webHidden/>
          </w:rPr>
          <w:t>49</w:t>
        </w:r>
        <w:r w:rsidR="00095A57">
          <w:rPr>
            <w:noProof/>
            <w:webHidden/>
          </w:rPr>
          <w:fldChar w:fldCharType="end"/>
        </w:r>
      </w:hyperlink>
    </w:p>
    <w:p w14:paraId="4D7B76DE" w14:textId="647F65F4" w:rsidR="00095A57" w:rsidRDefault="00997114">
      <w:pPr>
        <w:pStyle w:val="31"/>
        <w:rPr>
          <w:rFonts w:ascii="Calibri" w:hAnsi="Calibri"/>
          <w:kern w:val="2"/>
        </w:rPr>
      </w:pPr>
      <w:hyperlink w:anchor="_Toc175897271" w:history="1">
        <w:r w:rsidR="00095A57" w:rsidRPr="0015580C">
          <w:rPr>
            <w:rStyle w:val="a3"/>
          </w:rPr>
          <w:t>Австралийский пенсионный фонд Australian Retirement Trust собрался выкупить контрольный пакет акций одного из крупнейших новозеландских дистрибьюторов электроэнергии и газа — компании Powerco. Стоимость пакета оценивают в 2,2 млрд долларов.</w:t>
        </w:r>
        <w:r w:rsidR="00095A57">
          <w:rPr>
            <w:webHidden/>
          </w:rPr>
          <w:tab/>
        </w:r>
        <w:r w:rsidR="00095A57">
          <w:rPr>
            <w:webHidden/>
          </w:rPr>
          <w:fldChar w:fldCharType="begin"/>
        </w:r>
        <w:r w:rsidR="00095A57">
          <w:rPr>
            <w:webHidden/>
          </w:rPr>
          <w:instrText xml:space="preserve"> PAGEREF _Toc175897271 \h </w:instrText>
        </w:r>
        <w:r w:rsidR="00095A57">
          <w:rPr>
            <w:webHidden/>
          </w:rPr>
        </w:r>
        <w:r w:rsidR="00095A57">
          <w:rPr>
            <w:webHidden/>
          </w:rPr>
          <w:fldChar w:fldCharType="separate"/>
        </w:r>
        <w:r w:rsidR="00095A57">
          <w:rPr>
            <w:webHidden/>
          </w:rPr>
          <w:t>49</w:t>
        </w:r>
        <w:r w:rsidR="00095A57">
          <w:rPr>
            <w:webHidden/>
          </w:rPr>
          <w:fldChar w:fldCharType="end"/>
        </w:r>
      </w:hyperlink>
    </w:p>
    <w:p w14:paraId="148BF1B3" w14:textId="422FB668" w:rsidR="00095A57" w:rsidRDefault="00997114">
      <w:pPr>
        <w:pStyle w:val="21"/>
        <w:tabs>
          <w:tab w:val="right" w:leader="dot" w:pos="9061"/>
        </w:tabs>
        <w:rPr>
          <w:rFonts w:ascii="Calibri" w:hAnsi="Calibri"/>
          <w:noProof/>
          <w:kern w:val="2"/>
        </w:rPr>
      </w:pPr>
      <w:hyperlink w:anchor="_Toc175897272" w:history="1">
        <w:r w:rsidR="00095A57" w:rsidRPr="0015580C">
          <w:rPr>
            <w:rStyle w:val="a3"/>
            <w:noProof/>
          </w:rPr>
          <w:t>Пенсия.pro, 29.08.2024, 92 % американцев готовятся работать на пенсии — опрос</w:t>
        </w:r>
        <w:r w:rsidR="00095A57">
          <w:rPr>
            <w:noProof/>
            <w:webHidden/>
          </w:rPr>
          <w:tab/>
        </w:r>
        <w:r w:rsidR="00095A57">
          <w:rPr>
            <w:noProof/>
            <w:webHidden/>
          </w:rPr>
          <w:fldChar w:fldCharType="begin"/>
        </w:r>
        <w:r w:rsidR="00095A57">
          <w:rPr>
            <w:noProof/>
            <w:webHidden/>
          </w:rPr>
          <w:instrText xml:space="preserve"> PAGEREF _Toc175897272 \h </w:instrText>
        </w:r>
        <w:r w:rsidR="00095A57">
          <w:rPr>
            <w:noProof/>
            <w:webHidden/>
          </w:rPr>
        </w:r>
        <w:r w:rsidR="00095A57">
          <w:rPr>
            <w:noProof/>
            <w:webHidden/>
          </w:rPr>
          <w:fldChar w:fldCharType="separate"/>
        </w:r>
        <w:r w:rsidR="00095A57">
          <w:rPr>
            <w:noProof/>
            <w:webHidden/>
          </w:rPr>
          <w:t>49</w:t>
        </w:r>
        <w:r w:rsidR="00095A57">
          <w:rPr>
            <w:noProof/>
            <w:webHidden/>
          </w:rPr>
          <w:fldChar w:fldCharType="end"/>
        </w:r>
      </w:hyperlink>
    </w:p>
    <w:p w14:paraId="57C42BB4" w14:textId="4AC11F6D" w:rsidR="00095A57" w:rsidRDefault="00997114">
      <w:pPr>
        <w:pStyle w:val="31"/>
        <w:rPr>
          <w:rFonts w:ascii="Calibri" w:hAnsi="Calibri"/>
          <w:kern w:val="2"/>
        </w:rPr>
      </w:pPr>
      <w:hyperlink w:anchor="_Toc175897273" w:history="1">
        <w:r w:rsidR="00095A57" w:rsidRPr="0015580C">
          <w:rPr>
            <w:rStyle w:val="a3"/>
          </w:rPr>
          <w:t>Почти все американцы (92 %) считают, что с высокой долей вероятности им придется выйти на заслуженный отдых позже, чем хотелось бы. 80 % готовы продолжить работу после наступления пенсионного возраста, пишет Fox Business.</w:t>
        </w:r>
        <w:r w:rsidR="00095A57">
          <w:rPr>
            <w:webHidden/>
          </w:rPr>
          <w:tab/>
        </w:r>
        <w:r w:rsidR="00095A57">
          <w:rPr>
            <w:webHidden/>
          </w:rPr>
          <w:fldChar w:fldCharType="begin"/>
        </w:r>
        <w:r w:rsidR="00095A57">
          <w:rPr>
            <w:webHidden/>
          </w:rPr>
          <w:instrText xml:space="preserve"> PAGEREF _Toc175897273 \h </w:instrText>
        </w:r>
        <w:r w:rsidR="00095A57">
          <w:rPr>
            <w:webHidden/>
          </w:rPr>
        </w:r>
        <w:r w:rsidR="00095A57">
          <w:rPr>
            <w:webHidden/>
          </w:rPr>
          <w:fldChar w:fldCharType="separate"/>
        </w:r>
        <w:r w:rsidR="00095A57">
          <w:rPr>
            <w:webHidden/>
          </w:rPr>
          <w:t>49</w:t>
        </w:r>
        <w:r w:rsidR="00095A57">
          <w:rPr>
            <w:webHidden/>
          </w:rPr>
          <w:fldChar w:fldCharType="end"/>
        </w:r>
      </w:hyperlink>
    </w:p>
    <w:p w14:paraId="1BCD83C4" w14:textId="0D8C7E70" w:rsidR="00095A57" w:rsidRDefault="00997114">
      <w:pPr>
        <w:pStyle w:val="21"/>
        <w:tabs>
          <w:tab w:val="right" w:leader="dot" w:pos="9061"/>
        </w:tabs>
        <w:rPr>
          <w:rFonts w:ascii="Calibri" w:hAnsi="Calibri"/>
          <w:noProof/>
          <w:kern w:val="2"/>
        </w:rPr>
      </w:pPr>
      <w:hyperlink w:anchor="_Toc175897274" w:history="1">
        <w:r w:rsidR="00095A57" w:rsidRPr="0015580C">
          <w:rPr>
            <w:rStyle w:val="a3"/>
            <w:noProof/>
          </w:rPr>
          <w:t>РИА Новости, 29.08.2024, Правительство Польши не будет повышать пенсионный возраст - министр</w:t>
        </w:r>
        <w:r w:rsidR="00095A57">
          <w:rPr>
            <w:noProof/>
            <w:webHidden/>
          </w:rPr>
          <w:tab/>
        </w:r>
        <w:r w:rsidR="00095A57">
          <w:rPr>
            <w:noProof/>
            <w:webHidden/>
          </w:rPr>
          <w:fldChar w:fldCharType="begin"/>
        </w:r>
        <w:r w:rsidR="00095A57">
          <w:rPr>
            <w:noProof/>
            <w:webHidden/>
          </w:rPr>
          <w:instrText xml:space="preserve"> PAGEREF _Toc175897274 \h </w:instrText>
        </w:r>
        <w:r w:rsidR="00095A57">
          <w:rPr>
            <w:noProof/>
            <w:webHidden/>
          </w:rPr>
        </w:r>
        <w:r w:rsidR="00095A57">
          <w:rPr>
            <w:noProof/>
            <w:webHidden/>
          </w:rPr>
          <w:fldChar w:fldCharType="separate"/>
        </w:r>
        <w:r w:rsidR="00095A57">
          <w:rPr>
            <w:noProof/>
            <w:webHidden/>
          </w:rPr>
          <w:t>50</w:t>
        </w:r>
        <w:r w:rsidR="00095A57">
          <w:rPr>
            <w:noProof/>
            <w:webHidden/>
          </w:rPr>
          <w:fldChar w:fldCharType="end"/>
        </w:r>
      </w:hyperlink>
    </w:p>
    <w:p w14:paraId="3644B4D8" w14:textId="1840E261" w:rsidR="00095A57" w:rsidRDefault="00997114">
      <w:pPr>
        <w:pStyle w:val="31"/>
        <w:rPr>
          <w:rFonts w:ascii="Calibri" w:hAnsi="Calibri"/>
          <w:kern w:val="2"/>
        </w:rPr>
      </w:pPr>
      <w:hyperlink w:anchor="_Toc175897275" w:history="1">
        <w:r w:rsidR="00095A57" w:rsidRPr="0015580C">
          <w:rPr>
            <w:rStyle w:val="a3"/>
          </w:rPr>
          <w:t>Действующее правительство Польши не будет повышать пенсионный возраст, заявила министр фондов и региональной политики республики Катажина Пельчиньская-Наленьч в эфире радиостанции RMF FM.</w:t>
        </w:r>
        <w:r w:rsidR="00095A57">
          <w:rPr>
            <w:webHidden/>
          </w:rPr>
          <w:tab/>
        </w:r>
        <w:r w:rsidR="00095A57">
          <w:rPr>
            <w:webHidden/>
          </w:rPr>
          <w:fldChar w:fldCharType="begin"/>
        </w:r>
        <w:r w:rsidR="00095A57">
          <w:rPr>
            <w:webHidden/>
          </w:rPr>
          <w:instrText xml:space="preserve"> PAGEREF _Toc175897275 \h </w:instrText>
        </w:r>
        <w:r w:rsidR="00095A57">
          <w:rPr>
            <w:webHidden/>
          </w:rPr>
        </w:r>
        <w:r w:rsidR="00095A57">
          <w:rPr>
            <w:webHidden/>
          </w:rPr>
          <w:fldChar w:fldCharType="separate"/>
        </w:r>
        <w:r w:rsidR="00095A57">
          <w:rPr>
            <w:webHidden/>
          </w:rPr>
          <w:t>50</w:t>
        </w:r>
        <w:r w:rsidR="00095A57">
          <w:rPr>
            <w:webHidden/>
          </w:rPr>
          <w:fldChar w:fldCharType="end"/>
        </w:r>
      </w:hyperlink>
    </w:p>
    <w:p w14:paraId="0AC3A9DC" w14:textId="04DA969E" w:rsidR="00A0290C" w:rsidRPr="00397EEA" w:rsidRDefault="00DD0774" w:rsidP="00310633">
      <w:pPr>
        <w:rPr>
          <w:b/>
          <w:caps/>
          <w:sz w:val="32"/>
        </w:rPr>
      </w:pPr>
      <w:r w:rsidRPr="00397EEA">
        <w:rPr>
          <w:caps/>
          <w:sz w:val="28"/>
        </w:rPr>
        <w:fldChar w:fldCharType="end"/>
      </w:r>
    </w:p>
    <w:p w14:paraId="0F582036" w14:textId="77777777" w:rsidR="00D1642B" w:rsidRPr="00397EEA" w:rsidRDefault="00D1642B" w:rsidP="00D1642B">
      <w:pPr>
        <w:pStyle w:val="251"/>
      </w:pPr>
      <w:bookmarkStart w:id="16" w:name="_Toc396864664"/>
      <w:bookmarkStart w:id="17" w:name="_Toc99318652"/>
      <w:bookmarkStart w:id="18" w:name="_Toc175897198"/>
      <w:bookmarkStart w:id="19" w:name="_Toc246216291"/>
      <w:bookmarkStart w:id="20" w:name="_Toc246297418"/>
      <w:bookmarkEnd w:id="8"/>
      <w:bookmarkEnd w:id="9"/>
      <w:bookmarkEnd w:id="10"/>
      <w:bookmarkEnd w:id="11"/>
      <w:bookmarkEnd w:id="12"/>
      <w:bookmarkEnd w:id="13"/>
      <w:bookmarkEnd w:id="14"/>
      <w:bookmarkEnd w:id="15"/>
      <w:r w:rsidRPr="00397EEA">
        <w:lastRenderedPageBreak/>
        <w:t>НОВОСТИ ПЕНСИОННОЙ ОТРАСЛИ</w:t>
      </w:r>
      <w:bookmarkEnd w:id="16"/>
      <w:bookmarkEnd w:id="17"/>
      <w:bookmarkEnd w:id="18"/>
    </w:p>
    <w:p w14:paraId="42D86F70" w14:textId="77777777" w:rsidR="00111D7C" w:rsidRPr="00397EEA" w:rsidRDefault="00111D7C" w:rsidP="00111D7C">
      <w:pPr>
        <w:pStyle w:val="10"/>
      </w:pPr>
      <w:bookmarkStart w:id="21" w:name="_Toc99271685"/>
      <w:bookmarkStart w:id="22" w:name="_Toc99318653"/>
      <w:bookmarkStart w:id="23" w:name="_Toc165991072"/>
      <w:bookmarkStart w:id="24" w:name="_Toc175897199"/>
      <w:bookmarkStart w:id="25" w:name="_Toc246987631"/>
      <w:bookmarkStart w:id="26" w:name="_Toc248632297"/>
      <w:bookmarkStart w:id="27" w:name="_Toc251223975"/>
      <w:bookmarkEnd w:id="19"/>
      <w:bookmarkEnd w:id="20"/>
      <w:r w:rsidRPr="00397EEA">
        <w:t>Новости отрасли НПФ</w:t>
      </w:r>
      <w:bookmarkEnd w:id="21"/>
      <w:bookmarkEnd w:id="22"/>
      <w:bookmarkEnd w:id="23"/>
      <w:bookmarkEnd w:id="24"/>
    </w:p>
    <w:p w14:paraId="043801E5" w14:textId="77777777" w:rsidR="00813490" w:rsidRPr="00397EEA" w:rsidRDefault="00813490" w:rsidP="00813490">
      <w:pPr>
        <w:pStyle w:val="2"/>
      </w:pPr>
      <w:bookmarkStart w:id="28" w:name="a1"/>
      <w:bookmarkStart w:id="29" w:name="_Toc175897200"/>
      <w:bookmarkEnd w:id="28"/>
      <w:r w:rsidRPr="00397EEA">
        <w:t>Банковское обозрение, 29.08.2024, Объем портфелей НПФ и СФР достиг 7,7 трлн рублей во II квартале</w:t>
      </w:r>
      <w:bookmarkEnd w:id="29"/>
    </w:p>
    <w:p w14:paraId="73AD5860" w14:textId="77777777" w:rsidR="00813490" w:rsidRPr="00397EEA" w:rsidRDefault="00813490" w:rsidP="00CB047E">
      <w:pPr>
        <w:pStyle w:val="3"/>
      </w:pPr>
      <w:bookmarkStart w:id="30" w:name="_Toc175897201"/>
      <w:r w:rsidRPr="00397EEA">
        <w:t xml:space="preserve">Во втором квартале совокупный объем портфелей негосударственных пенсионных фондов (НПФ) и Социального фонда России (СФР) увеличился до 7,7 трлн рублей, сообщается в </w:t>
      </w:r>
      <w:r w:rsidR="00397EEA">
        <w:t>«</w:t>
      </w:r>
      <w:r w:rsidRPr="00397EEA">
        <w:t>Обзоре ключевых показателей негосударственных пенсионных фондов</w:t>
      </w:r>
      <w:r w:rsidR="00397EEA">
        <w:t>»</w:t>
      </w:r>
      <w:r w:rsidRPr="00397EEA">
        <w:t xml:space="preserve"> за второй квартал 2024 года Банка России. Это произошло благодаря ускорению темпов роста пенсионных резервов (ПР) НПФ, которые к концу июня превысили 1,9 трлн рублей.</w:t>
      </w:r>
      <w:r w:rsidR="00774AFB" w:rsidRPr="00397EEA">
        <w:t xml:space="preserve"> Банковское обозрение</w:t>
      </w:r>
      <w:bookmarkEnd w:id="30"/>
    </w:p>
    <w:p w14:paraId="5C243ED4" w14:textId="77777777" w:rsidR="00813490" w:rsidRPr="00397EEA" w:rsidRDefault="00813490" w:rsidP="00813490">
      <w:r w:rsidRPr="00397EEA">
        <w:t>Число участников программы долгосрочных сбережений только за апрель — июнь удвоилось. А к середине августа уже было заключено более 1 млн договоров. Объем привлеченных в программу средств с учетом государственного софинансирования и заявлений о переводе пенсионных накоплений превысил 51 млрд рублей.</w:t>
      </w:r>
    </w:p>
    <w:p w14:paraId="758B30D7" w14:textId="77777777" w:rsidR="00813490" w:rsidRPr="00397EEA" w:rsidRDefault="00813490" w:rsidP="00813490">
      <w:r w:rsidRPr="00397EEA">
        <w:t>Пенсионные накопления НПФ росли незначительно, их объем составил 3,3 трлн рублей. При этом отмечалось замедление сокращения клиентской базы НПФ: количество застрахованных в НПФ снизилось на 62,1 тыс. человек, что вполовину меньше, чем в первом квартале, когда на динамику влияла переходная кампания.</w:t>
      </w:r>
    </w:p>
    <w:p w14:paraId="77DDA289" w14:textId="77777777" w:rsidR="00813490" w:rsidRPr="00397EEA" w:rsidRDefault="00813490" w:rsidP="00813490">
      <w:r w:rsidRPr="00397EEA">
        <w:t>Фонды предпочитали размещать свободные средства в инструментах денежного рынка. В портфелях НПФ заметно выросла доля требований по сделкам репо. Это говорит о желании фондов переждать период ужесточения денежно-кредитной политики в ликвидных инструментах, обеспечивающих повышенную доходность при низком риске.</w:t>
      </w:r>
    </w:p>
    <w:p w14:paraId="0CB15A7C" w14:textId="77777777" w:rsidR="00813490" w:rsidRPr="00397EEA" w:rsidRDefault="00813490" w:rsidP="00813490">
      <w:r w:rsidRPr="00397EEA">
        <w:t>Программа долгосрочных инвестиций в России стартовала с начала 2024 года.</w:t>
      </w:r>
    </w:p>
    <w:p w14:paraId="0AE8EC24" w14:textId="77777777" w:rsidR="00111D7C" w:rsidRPr="00397EEA" w:rsidRDefault="00997114" w:rsidP="00813490">
      <w:hyperlink r:id="rId8" w:history="1">
        <w:r w:rsidR="00813490" w:rsidRPr="00397EEA">
          <w:rPr>
            <w:rStyle w:val="a3"/>
          </w:rPr>
          <w:t>https://bosfera.ru/press-release/obem-portfeley-npf-i-sfr-dostig-77-trln-rubley-vo-ii-kvartale</w:t>
        </w:r>
      </w:hyperlink>
    </w:p>
    <w:p w14:paraId="24B7D12F" w14:textId="77777777" w:rsidR="00B2609C" w:rsidRPr="00397EEA" w:rsidRDefault="00B2609C" w:rsidP="00B2609C">
      <w:pPr>
        <w:pStyle w:val="2"/>
      </w:pPr>
      <w:bookmarkStart w:id="31" w:name="_Toc175897202"/>
      <w:r w:rsidRPr="00397EEA">
        <w:t>Прайм, 29.08.2024, Рост совокупного объема портфелей НПФ и СФР превысил семь триллионов рублей</w:t>
      </w:r>
      <w:bookmarkEnd w:id="31"/>
    </w:p>
    <w:p w14:paraId="3AE0C314" w14:textId="77777777" w:rsidR="00B2609C" w:rsidRPr="00397EEA" w:rsidRDefault="00B2609C" w:rsidP="00CB047E">
      <w:pPr>
        <w:pStyle w:val="3"/>
      </w:pPr>
      <w:bookmarkStart w:id="32" w:name="_Toc175897203"/>
      <w:r w:rsidRPr="00397EEA">
        <w:t>Совокупный объем портфелей негосударственных пенсионных фондов (НПФ) и Социального фонда России (СФР) в прошлом квартале увеличился до 7,7 триллиона рублей, сообщает регулятор.</w:t>
      </w:r>
      <w:bookmarkEnd w:id="32"/>
    </w:p>
    <w:p w14:paraId="5BA8A949" w14:textId="77777777" w:rsidR="00B2609C" w:rsidRPr="00397EEA" w:rsidRDefault="00397EEA" w:rsidP="00B2609C">
      <w:r>
        <w:t>«</w:t>
      </w:r>
      <w:r w:rsidR="00B2609C" w:rsidRPr="00397EEA">
        <w:t>Во втором квартале совокупный объем портфелей негосударственных пенсионных фондов (НПФ) и Социального фонда России (СФР) увеличился до 7,7 триллиона рублей. Это произошло благодаря ускорению темпов роста пенсионных резервов (ПР) НПФ, которые к концу июня превысили 1,9 триллиона рублей</w:t>
      </w:r>
      <w:r>
        <w:t>»</w:t>
      </w:r>
      <w:r w:rsidR="00B2609C" w:rsidRPr="00397EEA">
        <w:t>, - говорится в сообщении.</w:t>
      </w:r>
    </w:p>
    <w:p w14:paraId="7073393F" w14:textId="77777777" w:rsidR="00B2609C" w:rsidRPr="00397EEA" w:rsidRDefault="00B2609C" w:rsidP="00B2609C">
      <w:r w:rsidRPr="00397EEA">
        <w:lastRenderedPageBreak/>
        <w:t xml:space="preserve">Отмечается также, что во втором квартале прирост совокупного портфеля пенсионных средств замедлился до 0,8 с 1% в первом квартале. </w:t>
      </w:r>
    </w:p>
    <w:p w14:paraId="0F681D07" w14:textId="77777777" w:rsidR="00B2609C" w:rsidRPr="00397EEA" w:rsidRDefault="00B2609C" w:rsidP="00B2609C">
      <w:r w:rsidRPr="00397EEA">
        <w:t>Также рост пенсионных накоплений НПФ замедлился до 0,2% квартал к кварталу, величина накоплений составила 3,3 триллиона рублей. Рост пенсионных накоплений СФР также оказался ниже, чем в первом квартале (0,4%), величина портфеля достигла 2,4 триллиона рублей.</w:t>
      </w:r>
    </w:p>
    <w:p w14:paraId="282E41D4" w14:textId="77777777" w:rsidR="00B2609C" w:rsidRPr="00397EEA" w:rsidRDefault="00B2609C" w:rsidP="00B2609C">
      <w:r w:rsidRPr="00397EEA">
        <w:t>Рост пенсионных резервов НПФ, напротив, ускорился - до 2,3%, размер портфеля превысил 1,9 триллиона рублей. А замедление роста совокупного портфеля связано со снижением доходности от инвестирования пенсионных накоплений и размещения пенсионных резервов квартал к кварталу.</w:t>
      </w:r>
    </w:p>
    <w:p w14:paraId="11A022E8" w14:textId="77777777" w:rsidR="00B2609C" w:rsidRPr="00397EEA" w:rsidRDefault="00397EEA" w:rsidP="00B2609C">
      <w:r>
        <w:t>«</w:t>
      </w:r>
      <w:r w:rsidR="00B2609C" w:rsidRPr="00397EEA">
        <w:t>Фонды предпочитали размещать свободные средства в инструментах денежного рынка. В портфелях НПФ заметно выросла доля требований по сделкам репо. Это говорит о желании фондов переждать период ужесточения денежно-кредитной политики в ликвидных инструментах, обеспечивающих повышенную доходность при низком риске</w:t>
      </w:r>
      <w:r>
        <w:t>»</w:t>
      </w:r>
      <w:r w:rsidR="00B2609C" w:rsidRPr="00397EEA">
        <w:t>, - добавил регулятор.</w:t>
      </w:r>
    </w:p>
    <w:p w14:paraId="4767DD4C" w14:textId="77777777" w:rsidR="00B2609C" w:rsidRPr="00397EEA" w:rsidRDefault="00997114" w:rsidP="00B2609C">
      <w:hyperlink r:id="rId9" w:history="1">
        <w:r w:rsidR="00B2609C" w:rsidRPr="00397EEA">
          <w:rPr>
            <w:rStyle w:val="a3"/>
          </w:rPr>
          <w:t>https://1prime.ru/20240829/rost-851207356.html</w:t>
        </w:r>
      </w:hyperlink>
      <w:r w:rsidR="00B2609C" w:rsidRPr="00397EEA">
        <w:t xml:space="preserve"> </w:t>
      </w:r>
    </w:p>
    <w:p w14:paraId="47CB01F9" w14:textId="77777777" w:rsidR="00C1661F" w:rsidRPr="00397EEA" w:rsidRDefault="00C1661F" w:rsidP="00C1661F">
      <w:pPr>
        <w:pStyle w:val="2"/>
      </w:pPr>
      <w:bookmarkStart w:id="33" w:name="a2"/>
      <w:bookmarkStart w:id="34" w:name="a3"/>
      <w:bookmarkStart w:id="35" w:name="_Toc175897204"/>
      <w:bookmarkStart w:id="36" w:name="_Hlk175896518"/>
      <w:bookmarkEnd w:id="33"/>
      <w:bookmarkEnd w:id="34"/>
      <w:r w:rsidRPr="00397EEA">
        <w:t>Интерфакс, 29.08.2024, ВТБ сменил гендиректора дочернего НПФ</w:t>
      </w:r>
      <w:bookmarkEnd w:id="35"/>
    </w:p>
    <w:p w14:paraId="521788A5" w14:textId="77777777" w:rsidR="00C1661F" w:rsidRPr="00397EEA" w:rsidRDefault="00C1661F" w:rsidP="00CB047E">
      <w:pPr>
        <w:pStyle w:val="3"/>
      </w:pPr>
      <w:bookmarkStart w:id="37" w:name="_Toc175897205"/>
      <w:r w:rsidRPr="00397EEA">
        <w:t>Генеральным директором НПФ ВТБ назначен Андрей Осипов, занимавший ранее должность члена правления Почта банка, сообщил ВТБ. До согласования его кандидатуры Банком России он будет временно исполнять обязанности руководителя компании. Максим Филатов, ранее возглавлявший фонд, продолжит работу в составе его совета директоров.</w:t>
      </w:r>
      <w:bookmarkEnd w:id="37"/>
    </w:p>
    <w:p w14:paraId="6BE1FDF3" w14:textId="77777777" w:rsidR="00C1661F" w:rsidRPr="00397EEA" w:rsidRDefault="00C1661F" w:rsidP="00C1661F">
      <w:r w:rsidRPr="00397EEA">
        <w:t xml:space="preserve">НПФ ВТБ занимает 1-е место по числу застрахованных клиентов по ОПС, по объему активов и объему обязательств по ОПС. После интеграции с НПФ </w:t>
      </w:r>
      <w:r w:rsidR="00397EEA">
        <w:t>«</w:t>
      </w:r>
      <w:r w:rsidRPr="00397EEA">
        <w:t>Открытие</w:t>
      </w:r>
      <w:r w:rsidR="00397EEA">
        <w:t>»</w:t>
      </w:r>
      <w:r w:rsidRPr="00397EEA">
        <w:t xml:space="preserve"> число клиентов объединенного фонда превысило 10,5 млн человек.</w:t>
      </w:r>
    </w:p>
    <w:p w14:paraId="57D85594" w14:textId="77777777" w:rsidR="00C1661F" w:rsidRPr="00397EEA" w:rsidRDefault="00397EEA" w:rsidP="00C1661F">
      <w:r>
        <w:t>«</w:t>
      </w:r>
      <w:r w:rsidR="00C1661F" w:rsidRPr="00397EEA">
        <w:t>Андрей Осипов давно зарекомендовал себя как эффективный менеджер розничного сектора. За его плечами - работа в крупнейших банках, в том числе - в сфере управления финансами, что максимально близко сегменту НПФ. Перед нашим фондом стоят амбициозные задачи по дальнейшему росту, цифровизации бизнес-процессов и активной работе в рамках программы долгосрочных сбережений. Уверен, что с его приходом клиенты очень скоро почувствуют все положительные изменения в работе нашего НПФ</w:t>
      </w:r>
      <w:r>
        <w:t>»</w:t>
      </w:r>
      <w:r w:rsidR="00C1661F" w:rsidRPr="00397EEA">
        <w:t>, - заявил председатель совета директоров НПФ ВТБ Георгий Горшков.</w:t>
      </w:r>
    </w:p>
    <w:p w14:paraId="2157E3D0" w14:textId="77777777" w:rsidR="00C1661F" w:rsidRPr="00397EEA" w:rsidRDefault="00C1661F" w:rsidP="00C1661F">
      <w:r w:rsidRPr="00397EEA">
        <w:t xml:space="preserve">Осипов окончил экономический факультет МГУ, сейчас учится в РАНХиГС на Executive MBA. Более 20 лет он работает в банках группы ВТБ на руководящих позициях. В разные годы занимался развитием ипотечного и розничного бизнеса, входил в советы директоров дочерних компаний группы - </w:t>
      </w:r>
      <w:r w:rsidR="00397EEA">
        <w:t>«</w:t>
      </w:r>
      <w:r w:rsidRPr="00397EEA">
        <w:t>ВТБ Страхование</w:t>
      </w:r>
      <w:r w:rsidR="00397EEA">
        <w:t>»</w:t>
      </w:r>
      <w:r w:rsidRPr="00397EEA">
        <w:t xml:space="preserve">, </w:t>
      </w:r>
      <w:r w:rsidR="00397EEA">
        <w:t>«</w:t>
      </w:r>
      <w:r w:rsidRPr="00397EEA">
        <w:t>ВТБ Пенсионный фонд</w:t>
      </w:r>
      <w:r w:rsidR="00397EEA">
        <w:t>»</w:t>
      </w:r>
      <w:r w:rsidRPr="00397EEA">
        <w:t xml:space="preserve">, </w:t>
      </w:r>
      <w:r w:rsidR="00397EEA">
        <w:t>«</w:t>
      </w:r>
      <w:r w:rsidRPr="00397EEA">
        <w:t>Мультибонус</w:t>
      </w:r>
      <w:r w:rsidR="00397EEA">
        <w:t>»</w:t>
      </w:r>
      <w:r w:rsidRPr="00397EEA">
        <w:t>. Последние полтора года отвечал за развитие розничного бизнеса Почта банка.</w:t>
      </w:r>
    </w:p>
    <w:p w14:paraId="43CB5C42" w14:textId="77777777" w:rsidR="00C1661F" w:rsidRPr="00397EEA" w:rsidRDefault="00997114" w:rsidP="00C1661F">
      <w:hyperlink r:id="rId10" w:history="1">
        <w:r w:rsidR="00C1661F" w:rsidRPr="00397EEA">
          <w:rPr>
            <w:rStyle w:val="a3"/>
          </w:rPr>
          <w:t>https://www.interfax.ru/business/978687</w:t>
        </w:r>
      </w:hyperlink>
      <w:r w:rsidR="00C1661F" w:rsidRPr="00397EEA">
        <w:t xml:space="preserve"> </w:t>
      </w:r>
    </w:p>
    <w:p w14:paraId="6B9F2491" w14:textId="77777777" w:rsidR="00D95BB8" w:rsidRPr="00397EEA" w:rsidRDefault="00D95BB8" w:rsidP="00D95BB8">
      <w:pPr>
        <w:pStyle w:val="2"/>
      </w:pPr>
      <w:bookmarkStart w:id="38" w:name="_Toc175897206"/>
      <w:bookmarkEnd w:id="36"/>
      <w:r w:rsidRPr="00397EEA">
        <w:lastRenderedPageBreak/>
        <w:t xml:space="preserve">ТАСС, 29.08.2024, Гендиректором объединенных НПФ ВТБ избрали топ-менеджера из </w:t>
      </w:r>
      <w:r w:rsidR="00397EEA">
        <w:t>«</w:t>
      </w:r>
      <w:r w:rsidRPr="00397EEA">
        <w:t>Почта банка</w:t>
      </w:r>
      <w:r w:rsidR="00397EEA">
        <w:t>»</w:t>
      </w:r>
      <w:bookmarkEnd w:id="38"/>
    </w:p>
    <w:p w14:paraId="534AD1A6" w14:textId="77777777" w:rsidR="00D95BB8" w:rsidRPr="00397EEA" w:rsidRDefault="00D95BB8" w:rsidP="00CB047E">
      <w:pPr>
        <w:pStyle w:val="3"/>
      </w:pPr>
      <w:bookmarkStart w:id="39" w:name="_Toc175897207"/>
      <w:r w:rsidRPr="00397EEA">
        <w:t xml:space="preserve">Гендиректором НПФ ВТБ (стал крупнейшим на рынке НПФ после объединения НПФ </w:t>
      </w:r>
      <w:r w:rsidR="00397EEA">
        <w:t>«</w:t>
      </w:r>
      <w:r w:rsidRPr="00397EEA">
        <w:t>Открытие</w:t>
      </w:r>
      <w:r w:rsidR="00397EEA">
        <w:t>»</w:t>
      </w:r>
      <w:r w:rsidRPr="00397EEA">
        <w:t xml:space="preserve"> и </w:t>
      </w:r>
      <w:r w:rsidR="00397EEA">
        <w:t>«</w:t>
      </w:r>
      <w:r w:rsidRPr="00397EEA">
        <w:t>ВТБ пенсионный фонд</w:t>
      </w:r>
      <w:r w:rsidR="00397EEA">
        <w:t>»</w:t>
      </w:r>
      <w:r w:rsidRPr="00397EEA">
        <w:t xml:space="preserve">) избран Андрей Осипов, ранее входивший в состав правления </w:t>
      </w:r>
      <w:r w:rsidR="00397EEA">
        <w:t>«</w:t>
      </w:r>
      <w:r w:rsidRPr="00397EEA">
        <w:t>Почта банка</w:t>
      </w:r>
      <w:r w:rsidR="00397EEA">
        <w:t>»</w:t>
      </w:r>
      <w:r w:rsidRPr="00397EEA">
        <w:t xml:space="preserve">, сообщила пресс-служба ВТБ. В </w:t>
      </w:r>
      <w:r w:rsidR="00397EEA">
        <w:t>«</w:t>
      </w:r>
      <w:r w:rsidRPr="00397EEA">
        <w:t>Почта банке</w:t>
      </w:r>
      <w:r w:rsidR="00397EEA">
        <w:t>»</w:t>
      </w:r>
      <w:r w:rsidRPr="00397EEA">
        <w:t xml:space="preserve"> он отвечал за развитие розничного бизнеса.</w:t>
      </w:r>
      <w:bookmarkEnd w:id="39"/>
    </w:p>
    <w:p w14:paraId="7859BA9F" w14:textId="77777777" w:rsidR="00D95BB8" w:rsidRPr="00397EEA" w:rsidRDefault="00397EEA" w:rsidP="00D95BB8">
      <w:r>
        <w:t>«</w:t>
      </w:r>
      <w:r w:rsidR="00D95BB8" w:rsidRPr="00397EEA">
        <w:t xml:space="preserve">Совет директоров негосударственного пенсионного фонда ВТБ избрал Андрея Осипова генеральным директором фонда. Ранее он занимал должность члена правления </w:t>
      </w:r>
      <w:r>
        <w:t>«</w:t>
      </w:r>
      <w:r w:rsidR="00D95BB8" w:rsidRPr="00397EEA">
        <w:t>Почта банка</w:t>
      </w:r>
      <w:r>
        <w:t>»</w:t>
      </w:r>
      <w:r w:rsidR="00D95BB8" w:rsidRPr="00397EEA">
        <w:t>. До согласования его кандидатуры Банком России он будет временно исполнять обязанности руководителя компании. Максим Филатов, ранее возглавлявший фонд, продолжит работу в составе его совета директоров</w:t>
      </w:r>
      <w:r>
        <w:t>»</w:t>
      </w:r>
      <w:r w:rsidR="00D95BB8" w:rsidRPr="00397EEA">
        <w:t>, - указано в сообщении.</w:t>
      </w:r>
    </w:p>
    <w:p w14:paraId="2559667E" w14:textId="77777777" w:rsidR="00D95BB8" w:rsidRPr="00397EEA" w:rsidRDefault="00D95BB8" w:rsidP="00D95BB8">
      <w:r w:rsidRPr="00397EEA">
        <w:t xml:space="preserve">Осипов родился в 1979 году, окончил экономический факультет МГУ. Более 20 лет работает в банках группы ВТБ на руководящих позициях. В разные годы занимался развитием ипотечного и розничного бизнеса, входил в советы директоров дочерних компаний группы: </w:t>
      </w:r>
      <w:r w:rsidR="00397EEA">
        <w:t>«</w:t>
      </w:r>
      <w:r w:rsidRPr="00397EEA">
        <w:t>ВТБ страхование</w:t>
      </w:r>
      <w:r w:rsidR="00397EEA">
        <w:t>»</w:t>
      </w:r>
      <w:r w:rsidRPr="00397EEA">
        <w:t xml:space="preserve">, </w:t>
      </w:r>
      <w:r w:rsidR="00397EEA">
        <w:t>«</w:t>
      </w:r>
      <w:r w:rsidRPr="00397EEA">
        <w:t>ВТБ пенсионный фонд</w:t>
      </w:r>
      <w:r w:rsidR="00397EEA">
        <w:t>»</w:t>
      </w:r>
      <w:r w:rsidRPr="00397EEA">
        <w:t xml:space="preserve">, </w:t>
      </w:r>
      <w:r w:rsidR="00397EEA">
        <w:t>«</w:t>
      </w:r>
      <w:r w:rsidRPr="00397EEA">
        <w:t>Мультибонус</w:t>
      </w:r>
      <w:r w:rsidR="00397EEA">
        <w:t>»</w:t>
      </w:r>
      <w:r w:rsidRPr="00397EEA">
        <w:t>.</w:t>
      </w:r>
    </w:p>
    <w:p w14:paraId="71BDA5A5" w14:textId="77777777" w:rsidR="00D95BB8" w:rsidRPr="00397EEA" w:rsidRDefault="00D95BB8" w:rsidP="00D95BB8">
      <w:r w:rsidRPr="00397EEA">
        <w:t xml:space="preserve">В конце декабря 2022 года банк </w:t>
      </w:r>
      <w:r w:rsidR="00397EEA">
        <w:t>«</w:t>
      </w:r>
      <w:r w:rsidRPr="00397EEA">
        <w:t>Открытие</w:t>
      </w:r>
      <w:r w:rsidR="00397EEA">
        <w:t>»</w:t>
      </w:r>
      <w:r w:rsidRPr="00397EEA">
        <w:t xml:space="preserve"> вместе с НПФ вошел в группу ВТБ. Решение об объединении двух фондов было принято на внеочередных общих собраниях акционеров фондов 23 ноября 2023 года. Объединение двух фондов завершилось в начале мая 2024 года.</w:t>
      </w:r>
    </w:p>
    <w:p w14:paraId="13889BC9" w14:textId="77777777" w:rsidR="005E7DB0" w:rsidRPr="00397EEA" w:rsidRDefault="005E7DB0" w:rsidP="005E7DB0">
      <w:pPr>
        <w:pStyle w:val="2"/>
      </w:pPr>
      <w:bookmarkStart w:id="40" w:name="a4"/>
      <w:bookmarkStart w:id="41" w:name="_Toc175897208"/>
      <w:bookmarkEnd w:id="40"/>
      <w:r w:rsidRPr="00397EEA">
        <w:t xml:space="preserve">Ваш пенсионный брокер, 29.08.2024, С начала года НПФ </w:t>
      </w:r>
      <w:r w:rsidR="00397EEA">
        <w:t>«</w:t>
      </w:r>
      <w:r w:rsidRPr="00397EEA">
        <w:t>БУДУЩЕЕ</w:t>
      </w:r>
      <w:r w:rsidR="00397EEA">
        <w:t>»</w:t>
      </w:r>
      <w:r w:rsidRPr="00397EEA">
        <w:t xml:space="preserve"> выплатил клиентам пенсии на сумму более 3,5 млрд рублей</w:t>
      </w:r>
      <w:bookmarkEnd w:id="41"/>
    </w:p>
    <w:p w14:paraId="7ACD36C6" w14:textId="77777777" w:rsidR="005E7DB0" w:rsidRPr="00397EEA" w:rsidRDefault="005E7DB0" w:rsidP="00CB047E">
      <w:pPr>
        <w:pStyle w:val="3"/>
      </w:pPr>
      <w:bookmarkStart w:id="42" w:name="_Toc175897209"/>
      <w:r w:rsidRPr="00397EEA">
        <w:t xml:space="preserve">За семь месяцев 2024 года НПФ </w:t>
      </w:r>
      <w:r w:rsidR="00397EEA">
        <w:t>«</w:t>
      </w:r>
      <w:r w:rsidRPr="00397EEA">
        <w:t>БУДУЩЕЕ</w:t>
      </w:r>
      <w:r w:rsidR="00397EEA">
        <w:t>»</w:t>
      </w:r>
      <w:r w:rsidRPr="00397EEA">
        <w:t xml:space="preserve"> выплатил клиентам более 3,5 млрд рублей. По сравнению с аналогичным периодом 2023 года эта сумма выросла на 23%.</w:t>
      </w:r>
      <w:bookmarkEnd w:id="42"/>
    </w:p>
    <w:p w14:paraId="2DBB3215" w14:textId="77777777" w:rsidR="005E7DB0" w:rsidRPr="00397EEA" w:rsidRDefault="005E7DB0" w:rsidP="005E7DB0">
      <w:r w:rsidRPr="00397EEA">
        <w:t xml:space="preserve">Основная часть выплаченных средств пришлась на пенсии по договорам обязательного пенсионного страхования (ОПС) — 3,4 млрд рублей. Рост этих платежей по сравнению с аналогичным отчетным периодом прошлого года составил 24%. Всего по стране выплаты в рамках обязательного пенсионного страхования от НПФ </w:t>
      </w:r>
      <w:r w:rsidR="00397EEA">
        <w:t>«</w:t>
      </w:r>
      <w:r w:rsidRPr="00397EEA">
        <w:t>БУДУЩЕЕ</w:t>
      </w:r>
      <w:r w:rsidR="00397EEA">
        <w:t>»</w:t>
      </w:r>
      <w:r w:rsidRPr="00397EEA">
        <w:t xml:space="preserve"> получили 32 тыс. россиян.</w:t>
      </w:r>
    </w:p>
    <w:p w14:paraId="017D15B1" w14:textId="77777777" w:rsidR="005E7DB0" w:rsidRPr="00397EEA" w:rsidRDefault="005E7DB0" w:rsidP="005E7DB0">
      <w:r w:rsidRPr="00397EEA">
        <w:t xml:space="preserve">На исполнение обязательств по договорам негосударственного пенсионного обеспечения НПФ </w:t>
      </w:r>
      <w:r w:rsidR="00397EEA">
        <w:t>«</w:t>
      </w:r>
      <w:r w:rsidRPr="00397EEA">
        <w:t>БУДУЩЕЕ</w:t>
      </w:r>
      <w:r w:rsidR="00397EEA">
        <w:t>»</w:t>
      </w:r>
      <w:r w:rsidRPr="00397EEA">
        <w:t xml:space="preserve"> направил с начала года свыше 143 млн рублей. В основном, негосударственную пенсию в фонде получают люди, которые откладывали на свое финансовое будущее самостоятельно с помощью индивидуального пенсионного плана.</w:t>
      </w:r>
    </w:p>
    <w:p w14:paraId="36B5D469" w14:textId="77777777" w:rsidR="005E7DB0" w:rsidRPr="00397EEA" w:rsidRDefault="005E7DB0" w:rsidP="005E7DB0">
      <w:r w:rsidRPr="00397EEA">
        <w:t>Подать заявление на получение выплат как в рамках ОПС, так и по договору НПО клиенты могут в электронном виде через Личный кабинет на сайте фонда.</w:t>
      </w:r>
    </w:p>
    <w:p w14:paraId="78A280F5" w14:textId="77777777" w:rsidR="005E7DB0" w:rsidRPr="00397EEA" w:rsidRDefault="00997114" w:rsidP="005E7DB0">
      <w:hyperlink r:id="rId11" w:history="1">
        <w:r w:rsidR="005E7DB0" w:rsidRPr="00397EEA">
          <w:rPr>
            <w:rStyle w:val="a3"/>
          </w:rPr>
          <w:t>http://pbroker.ru/?p=78469</w:t>
        </w:r>
      </w:hyperlink>
      <w:r w:rsidR="005E7DB0" w:rsidRPr="00397EEA">
        <w:t xml:space="preserve"> </w:t>
      </w:r>
    </w:p>
    <w:p w14:paraId="0D3A20E2" w14:textId="77777777" w:rsidR="00C93890" w:rsidRPr="00397EEA" w:rsidRDefault="00C93890" w:rsidP="00C93890">
      <w:pPr>
        <w:pStyle w:val="2"/>
      </w:pPr>
      <w:bookmarkStart w:id="43" w:name="a5"/>
      <w:bookmarkStart w:id="44" w:name="_Toc175897210"/>
      <w:bookmarkStart w:id="45" w:name="_Hlk175896553"/>
      <w:bookmarkEnd w:id="43"/>
      <w:r w:rsidRPr="00397EEA">
        <w:lastRenderedPageBreak/>
        <w:t>УралБизнесКонсалтинг, 29.08.2024, В Свердловской области за I полугодие 2024 года опубликовано 3 тыс. вакансий с предложением корпоративной пенсионной программы</w:t>
      </w:r>
      <w:bookmarkEnd w:id="44"/>
    </w:p>
    <w:p w14:paraId="0A0C248B" w14:textId="77777777" w:rsidR="00C93890" w:rsidRPr="00397EEA" w:rsidRDefault="00C93890" w:rsidP="00CB047E">
      <w:pPr>
        <w:pStyle w:val="3"/>
      </w:pPr>
      <w:bookmarkStart w:id="46" w:name="_Toc175897211"/>
      <w:r w:rsidRPr="00397EEA">
        <w:t xml:space="preserve">В Свердловской области за I полугодие 2024 года региональные компании опубликовали 3 тыс. вакансий, предлагающих корпоративную пенсионную программу (КПП) как мотивирующую льготу. Это на 40% больше аналогичных показателей 2023 года. Об этом говорится в исследовании, проведенном совместно с НПФ </w:t>
      </w:r>
      <w:r w:rsidR="00397EEA">
        <w:t>«</w:t>
      </w:r>
      <w:r w:rsidRPr="00397EEA">
        <w:t>Эволюция</w:t>
      </w:r>
      <w:r w:rsidR="00397EEA">
        <w:t>»</w:t>
      </w:r>
      <w:r w:rsidRPr="00397EEA">
        <w:t xml:space="preserve"> российской платформой онлайн-рекрутинга hh.ru.</w:t>
      </w:r>
      <w:bookmarkEnd w:id="46"/>
    </w:p>
    <w:p w14:paraId="0EE2A2F2" w14:textId="77777777" w:rsidR="00C93890" w:rsidRPr="00397EEA" w:rsidRDefault="00C93890" w:rsidP="00C93890">
      <w:r w:rsidRPr="00397EEA">
        <w:t>Так, наибольшая динамика наблюдается в сфере PR и маркетинга, где упоминание пенсионных программ увеличилось в восемь раз. Также в лидерах финансовая отрасль, в частности компании, которые занимаются управлением активами (рост почти в пять раз). В промышленности (в машиностроении) отмечено увеличение в три раза, в торговле — в три раза, в нефтегазовой отрасли — почти в три раза, в лесной промышленности и деревообработке — в два раза.</w:t>
      </w:r>
    </w:p>
    <w:p w14:paraId="2791C51A" w14:textId="77777777" w:rsidR="00C93890" w:rsidRPr="00397EEA" w:rsidRDefault="00C93890" w:rsidP="00C93890">
      <w:r w:rsidRPr="00397EEA">
        <w:t>Директор hh.ru на Урале Оксана Сидлецкая сообщила, что за последние три года у соискателей изменилось отношение к работе. Если десять лет назад у россиян еще были сильны опасения потерять работу и доход, а в перечне ключевых преимуществ лучшего нанимателя были высокая зарплата и стабильность развития компании, то сегодня, по мере того как уровень безработицы падал, на первый план у соискателей стали выходить иные требования. В частности, это психологический комфорт, нетоксичная рабочая среда, наличие гибкого или гибридного графика работы.</w:t>
      </w:r>
    </w:p>
    <w:p w14:paraId="1E435036" w14:textId="77777777" w:rsidR="00C93890" w:rsidRPr="00397EEA" w:rsidRDefault="00397EEA" w:rsidP="00C93890">
      <w:r>
        <w:t>«</w:t>
      </w:r>
      <w:r w:rsidR="00C93890" w:rsidRPr="00397EEA">
        <w:t>Главное, что соискатели стали больше интересоваться тем, какие эмоции им может предложить работа в компании, и теми идеями, которые работодатель готов продвигать. В целом расширение программы нематериальной мотивации говорит о развороте работодателей в сторону человекоцентричности — базиса, на котором должен стоять любой бизнес</w:t>
      </w:r>
      <w:r>
        <w:t>»</w:t>
      </w:r>
      <w:r w:rsidR="00C93890" w:rsidRPr="00397EEA">
        <w:t>, — отметила О. Сидлецкая.</w:t>
      </w:r>
    </w:p>
    <w:p w14:paraId="1768F253" w14:textId="77777777" w:rsidR="00C93890" w:rsidRPr="00397EEA" w:rsidRDefault="00C93890" w:rsidP="00C93890">
      <w:r w:rsidRPr="00397EEA">
        <w:t xml:space="preserve">В свою очередь, генеральный директор НПФ </w:t>
      </w:r>
      <w:r w:rsidR="00397EEA">
        <w:t>«</w:t>
      </w:r>
      <w:r w:rsidRPr="00397EEA">
        <w:t>Эволюция</w:t>
      </w:r>
      <w:r w:rsidR="00397EEA">
        <w:t>»</w:t>
      </w:r>
      <w:r w:rsidRPr="00397EEA">
        <w:t xml:space="preserve"> Елена Тетюнина сообщила, что увеличение корпоративных пенсионных программ в соцпакетах нанимателей говорит о том, что российские компании все больше внимания уделяют заботе о финансовом будущем своих сотрудников.</w:t>
      </w:r>
    </w:p>
    <w:p w14:paraId="3025114D" w14:textId="77777777" w:rsidR="00C93890" w:rsidRPr="00397EEA" w:rsidRDefault="00397EEA" w:rsidP="00C93890">
      <w:r>
        <w:t>«</w:t>
      </w:r>
      <w:r w:rsidR="00C93890" w:rsidRPr="00397EEA">
        <w:t>Согласно нашим данным, работодатели стали чаще предлагать бонус в виде корпоративной пенсии сотрудникам сферы сельского хозяйства, агрономам, работникам научных центров, инженерам, машинистам, операторам колл-центров. Переход бизнеса к такой социальной ответственности — позитивный знак не только для рынка труда, но и для всей пенсионной отрасли страны</w:t>
      </w:r>
      <w:r>
        <w:t>»</w:t>
      </w:r>
      <w:r w:rsidR="00C93890" w:rsidRPr="00397EEA">
        <w:t>, — подытожила Е. Тетюнина.</w:t>
      </w:r>
    </w:p>
    <w:p w14:paraId="191584D3" w14:textId="77777777" w:rsidR="00813490" w:rsidRPr="00397EEA" w:rsidRDefault="00997114" w:rsidP="00C93890">
      <w:hyperlink r:id="rId12" w:history="1">
        <w:r w:rsidR="00C93890" w:rsidRPr="00397EEA">
          <w:rPr>
            <w:rStyle w:val="a3"/>
          </w:rPr>
          <w:t>https://urbc.ru/1068131155-v-sverdlovskoy-oblasti-za-i-polugodie-2024-goda-bylo-opublikovano-3-tys-vakansii-s-predlozheniem-korporativnoy-pensionnoy-programmy.html</w:t>
        </w:r>
      </w:hyperlink>
    </w:p>
    <w:p w14:paraId="699561ED" w14:textId="77777777" w:rsidR="00C93890" w:rsidRPr="00397EEA" w:rsidRDefault="00C93890" w:rsidP="00C93890">
      <w:pPr>
        <w:pStyle w:val="2"/>
      </w:pPr>
      <w:bookmarkStart w:id="47" w:name="_Toc175897212"/>
      <w:bookmarkEnd w:id="45"/>
      <w:r w:rsidRPr="00397EEA">
        <w:lastRenderedPageBreak/>
        <w:t>Телеинформ (Иркутск), 29.08.2024, В Иркутской области стали чаще мотивировать кандидатов корпоративной пенсией</w:t>
      </w:r>
      <w:bookmarkEnd w:id="47"/>
    </w:p>
    <w:p w14:paraId="22DAA1AF" w14:textId="77777777" w:rsidR="00C93890" w:rsidRPr="00397EEA" w:rsidRDefault="00C93890" w:rsidP="00CB047E">
      <w:pPr>
        <w:pStyle w:val="3"/>
      </w:pPr>
      <w:bookmarkStart w:id="48" w:name="_Toc175897213"/>
      <w:r w:rsidRPr="00397EEA">
        <w:t xml:space="preserve">Совместное исследование платформы онлайн-рекрутинга hh.ru и НПФ </w:t>
      </w:r>
      <w:r w:rsidR="00397EEA">
        <w:t>«</w:t>
      </w:r>
      <w:r w:rsidRPr="00397EEA">
        <w:t>Эволюция</w:t>
      </w:r>
      <w:r w:rsidR="00397EEA">
        <w:t>»</w:t>
      </w:r>
      <w:r w:rsidRPr="00397EEA">
        <w:t xml:space="preserve"> демонстрирует постепенный рост упоминаемости корпоративных пенсионных программ (КПП) в соцпакетах вакансий, предлагаемых работодателями Иркутской области.</w:t>
      </w:r>
      <w:bookmarkEnd w:id="48"/>
    </w:p>
    <w:p w14:paraId="38796F39" w14:textId="77777777" w:rsidR="00C93890" w:rsidRPr="00397EEA" w:rsidRDefault="00C93890" w:rsidP="00C93890">
      <w:r w:rsidRPr="00397EEA">
        <w:t xml:space="preserve">За первое полугодие 2024 года компании Иркутской области опубликовали 1,5 тысячи вакансий, включающих корпоративную пенсионную программу как мотивирующую льготу. Это на 16% больше аналогичных показателей 2023 года, сообщает пресс-служба НПФ </w:t>
      </w:r>
      <w:r w:rsidR="00397EEA">
        <w:t>«</w:t>
      </w:r>
      <w:r w:rsidRPr="00397EEA">
        <w:t>Эволюция</w:t>
      </w:r>
      <w:r w:rsidR="00397EEA">
        <w:t>»</w:t>
      </w:r>
      <w:r w:rsidRPr="00397EEA">
        <w:t>.</w:t>
      </w:r>
    </w:p>
    <w:p w14:paraId="25AC9D79" w14:textId="77777777" w:rsidR="00C93890" w:rsidRPr="00397EEA" w:rsidRDefault="00C93890" w:rsidP="00C93890">
      <w:r w:rsidRPr="00397EEA">
        <w:t>Если рассматривать вакансии через призму профессиональных отраслей, то наибольшая динамика наблюдается в сфере PR и маркетинга. Именно тут число предложений с упоминанием пенсионных программ увеличилось в восемь раз. Также в лидерах – финансовая отрасль. В частности, речь идет о компаниях, которые занимаются управлением активами (рост почти в пять раз). Также в промышленности – а именно в машиностроении (увеличение в три раза), в торговле – рост в три раза, нефтегазовой отрасли – в 2,9 раз, в лесной промышленности и деревообработке – в два раза.</w:t>
      </w:r>
    </w:p>
    <w:p w14:paraId="6A21F489" w14:textId="77777777" w:rsidR="00C93890" w:rsidRPr="00397EEA" w:rsidRDefault="00C93890" w:rsidP="00C93890">
      <w:r w:rsidRPr="00397EEA">
        <w:t xml:space="preserve">– Увеличение корпоративных пенсионных программ в соцпакетах работодателей говорит о том, что российские компании все больше внимания уделяют заботе о финансовом будущем своих сотрудников. Согласно нашим данным, работодатели стали чаще предлагать бонус в виде корпоративной пенсии сотрудникам сферы сельского хозяйства, агрономам, работникам научных центров, инженерам, машинистам, операторам колл-центров. Переход бизнеса к такой социальной ответственности – позитивный знак не только для рынка труда, но и для всей пенсионной отрасли страны, – отметила генеральный директор НПФ </w:t>
      </w:r>
      <w:r w:rsidR="00397EEA">
        <w:t>«</w:t>
      </w:r>
      <w:r w:rsidRPr="00397EEA">
        <w:t>Эволюция</w:t>
      </w:r>
      <w:r w:rsidR="00397EEA">
        <w:t>»</w:t>
      </w:r>
      <w:r w:rsidRPr="00397EEA">
        <w:t xml:space="preserve"> Елена Тетюнина.</w:t>
      </w:r>
    </w:p>
    <w:p w14:paraId="33AF13D9" w14:textId="77777777" w:rsidR="00C93890" w:rsidRPr="00397EEA" w:rsidRDefault="00997114" w:rsidP="00C93890">
      <w:hyperlink r:id="rId13" w:history="1">
        <w:r w:rsidR="00C93890" w:rsidRPr="00397EEA">
          <w:rPr>
            <w:rStyle w:val="a3"/>
          </w:rPr>
          <w:t>https://i38.ru/dengi-pervie/v-irkutskoy-oblasti-stali-chasche-motivirovat-kandidatov-korporativnoy-pensiey</w:t>
        </w:r>
      </w:hyperlink>
    </w:p>
    <w:p w14:paraId="5E992AC5" w14:textId="77777777" w:rsidR="00C93890" w:rsidRPr="00397EEA" w:rsidRDefault="00C93890" w:rsidP="00C93890"/>
    <w:p w14:paraId="350AB796" w14:textId="77777777" w:rsidR="00111D7C" w:rsidRPr="00397EEA" w:rsidRDefault="00111D7C" w:rsidP="00111D7C">
      <w:pPr>
        <w:pStyle w:val="10"/>
      </w:pPr>
      <w:bookmarkStart w:id="49" w:name="_Toc165991073"/>
      <w:bookmarkStart w:id="50" w:name="_Toc175897214"/>
      <w:bookmarkStart w:id="51" w:name="_Toc99271691"/>
      <w:bookmarkStart w:id="52" w:name="_Toc99318654"/>
      <w:bookmarkStart w:id="53" w:name="_Toc99318783"/>
      <w:bookmarkStart w:id="54" w:name="_Toc396864672"/>
      <w:r w:rsidRPr="00397EEA">
        <w:lastRenderedPageBreak/>
        <w:t>Программа долгосрочных сбережений</w:t>
      </w:r>
      <w:bookmarkEnd w:id="49"/>
      <w:bookmarkEnd w:id="50"/>
    </w:p>
    <w:p w14:paraId="7731BE2B" w14:textId="77777777" w:rsidR="00046CCA" w:rsidRPr="00397EEA" w:rsidRDefault="00046CCA" w:rsidP="00046CCA">
      <w:pPr>
        <w:pStyle w:val="2"/>
      </w:pPr>
      <w:bookmarkStart w:id="55" w:name="_Toc175897215"/>
      <w:r w:rsidRPr="00397EEA">
        <w:t>Коммерсантъ, 30.08.2024, Полина ТРИФОНОВА, НПФ ждут новых денег</w:t>
      </w:r>
      <w:bookmarkEnd w:id="55"/>
    </w:p>
    <w:p w14:paraId="4A597F2B" w14:textId="77777777" w:rsidR="00046CCA" w:rsidRPr="00397EEA" w:rsidRDefault="00046CCA" w:rsidP="00CB047E">
      <w:pPr>
        <w:pStyle w:val="3"/>
      </w:pPr>
      <w:bookmarkStart w:id="56" w:name="_Toc175897216"/>
      <w:r w:rsidRPr="00397EEA">
        <w:t>Во втором квартале текущего года на фоне высокой волатильности на рынке и отрицательной переоценки активов негосударственные пенсионные фонды (НПФ) предпочитали инструменты денежного рынка вложениям в депозиты. Учитывая жесткую риторику ЦБ, во втором полугодии они продолжат вкладываться в более краткосрочные и более маржинальные инструменты. Впрочем, куда больше отрасль обеспокоена привлечением новых денег в программу долгосрочных сбережений (ПДС).</w:t>
      </w:r>
      <w:bookmarkEnd w:id="56"/>
    </w:p>
    <w:p w14:paraId="66705EB9" w14:textId="77777777" w:rsidR="00046CCA" w:rsidRPr="00397EEA" w:rsidRDefault="00046CCA" w:rsidP="00046CCA">
      <w:r w:rsidRPr="00397EEA">
        <w:t>В четверг ЦБ опубликовал обзор показателей деятельности НПФ по итогам второго квартала. Согласно ему, за квартал рост совокупного портфеля пенсионных средств замедлился и составил 0,8% против 1% кварталом ранее. Такое снижение связано с ухудшением динамики пенсионных накоплений. Объем портфеля за отчетный период составил 7,7 трлн руб. Это произошло благодаря ускорению темпов роста пенсионных резервов (ПР) НПФ, которые к концу июня превысили 1,9 трлн руб. Регулятор связывает такую динамику с активизацией притока средств населения в новую ПДС, запущенную в этом году.</w:t>
      </w:r>
    </w:p>
    <w:p w14:paraId="7FEED1B2" w14:textId="77777777" w:rsidR="00046CCA" w:rsidRPr="00397EEA" w:rsidRDefault="00046CCA" w:rsidP="00046CCA">
      <w:r w:rsidRPr="00397EEA">
        <w:t>ПДС предполагает возможность формировать накопления за счет собственных добровольных взносов и сформированных пенсионных накоплений. В настоящее время к программе подключено 24 НПФ. Договор заключается на 15 лет. ПДС предусматривает государственное софинансирование, а также специальный налоговый вычет. Средства застрахованы государством на сумму 2,8 млн руб. В июле срок софинансирования по ПДС был увеличен с трех до десяти лет.</w:t>
      </w:r>
    </w:p>
    <w:p w14:paraId="07EF887D" w14:textId="77777777" w:rsidR="00046CCA" w:rsidRPr="00397EEA" w:rsidRDefault="00046CCA" w:rsidP="00046CCA">
      <w:r w:rsidRPr="00397EEA">
        <w:t>Во втором квартале НПФ предпочитали инструменты денежного рынка вложениям в депозиты. Это может объясняться желанием переждать период повышенной волатильности в наиболее ликвидных инструментах, говорится в обзоре ключевых показателей отрасли, опубликованном Банком России. В условиях отрицательной переоценки снижение долей корпоративных облигаций в портфелях НПФ в втором квартале продолжилось (см. “Ъ” от 16 августа). Так, в портфеле пенсионных накоплений НПФ доля корпоративных облигаций сократилась на 1,8 процентного пункта (п. п.), до 36,6%, в портфеле ПР — на 1 п. п., до 37,2%. Доля ОФЗ в портфеле ПР НПФ за квартал снизилась на 0,3 п. п., до 43,7%, в портфеле ПР снижение было незначительным — доля ОФЗ осталась на уровне 26,4%.</w:t>
      </w:r>
    </w:p>
    <w:p w14:paraId="0B53C967" w14:textId="77777777" w:rsidR="00046CCA" w:rsidRPr="00397EEA" w:rsidRDefault="00046CCA" w:rsidP="00046CCA">
      <w:r w:rsidRPr="00397EEA">
        <w:t xml:space="preserve">Природа и масштаб пенсионных портфелей таковы, что квартальные изменения не ведут к крупным сделкам, так что серьезных скачков в портфелях, даже несмотря на отрицательную переоценку, ждать не стоит, уверен гендиректор </w:t>
      </w:r>
      <w:r w:rsidR="00397EEA">
        <w:t>«</w:t>
      </w:r>
      <w:r w:rsidRPr="00397EEA">
        <w:t>Эксперт Бизнес-решения</w:t>
      </w:r>
      <w:r w:rsidR="00397EEA">
        <w:t>»</w:t>
      </w:r>
      <w:r w:rsidRPr="00397EEA">
        <w:t xml:space="preserve"> Павел Митрофанов. Конечно, если какие-то крупные портфели будут погашаться, то есть вероятность, что деньги будут направляться на более актуальные инструменты, полагает он. Так, например, УК </w:t>
      </w:r>
      <w:r w:rsidR="00397EEA">
        <w:t>«</w:t>
      </w:r>
      <w:r w:rsidRPr="00397EEA">
        <w:t>Ингосстрах-Инвестиции</w:t>
      </w:r>
      <w:r w:rsidR="00397EEA">
        <w:t>»</w:t>
      </w:r>
      <w:r w:rsidRPr="00397EEA">
        <w:t xml:space="preserve"> наращивала инвестиции в облигации с плавающей ставкой за счет продажи и погашения прочих инструментов в расчете на рост ставок и во втором полугодии будет продолжать это </w:t>
      </w:r>
      <w:r w:rsidRPr="00397EEA">
        <w:lastRenderedPageBreak/>
        <w:t>делать, рассказывает директор департамента управления активам компании Артем Майоров.</w:t>
      </w:r>
    </w:p>
    <w:p w14:paraId="28622B6B" w14:textId="77777777" w:rsidR="00046CCA" w:rsidRPr="00397EEA" w:rsidRDefault="00397EEA" w:rsidP="00046CCA">
      <w:r>
        <w:t>«</w:t>
      </w:r>
      <w:r w:rsidR="00046CCA" w:rsidRPr="00397EEA">
        <w:t>С учетом заявлений ЦБ о том, что смягчения денежно-кредитной политики ждать не стоит, спрос на корпоративные флоатеры и федеральные флоатеры ОФЗ будет расти</w:t>
      </w:r>
      <w:r>
        <w:t>»</w:t>
      </w:r>
      <w:r w:rsidR="00046CCA" w:rsidRPr="00397EEA">
        <w:t xml:space="preserve">,— уверен начальник аналитического отдела инвесткомпании </w:t>
      </w:r>
      <w:r>
        <w:t>«</w:t>
      </w:r>
      <w:r w:rsidR="00046CCA" w:rsidRPr="00397EEA">
        <w:t>Риком-Траст</w:t>
      </w:r>
      <w:r>
        <w:t>»</w:t>
      </w:r>
      <w:r w:rsidR="00046CCA" w:rsidRPr="00397EEA">
        <w:t xml:space="preserve"> Олег Абелев. НПФ в моменте используют инструменты денежного рынка и репо, отмечает гендиректор СберНПФ Александр Зарецкий. Впрочем, говорить о доходностях для клиентов пока рано, признает он. В </w:t>
      </w:r>
      <w:r>
        <w:t>«</w:t>
      </w:r>
      <w:r w:rsidR="00046CCA" w:rsidRPr="00397EEA">
        <w:t>Национальной ассоциации негосударственных пенсионных фондов</w:t>
      </w:r>
      <w:r>
        <w:t>»</w:t>
      </w:r>
      <w:r w:rsidR="00046CCA" w:rsidRPr="00397EEA">
        <w:t xml:space="preserve"> (НАПФ) настроены более оптимистично. </w:t>
      </w:r>
      <w:r>
        <w:t>«</w:t>
      </w:r>
      <w:r w:rsidR="00046CCA" w:rsidRPr="00397EEA">
        <w:t>НПФ намерены завершить год с доходностью рыночных портфелей на уровне 10–13% годовых с прогнозом на следующий год в диапазоне 15–19%</w:t>
      </w:r>
      <w:r>
        <w:t>»</w:t>
      </w:r>
      <w:r w:rsidR="00046CCA" w:rsidRPr="00397EEA">
        <w:t>,— говорит председатель совета НАПФ Аркадий Недбай.</w:t>
      </w:r>
    </w:p>
    <w:p w14:paraId="592867C9" w14:textId="77777777" w:rsidR="00046CCA" w:rsidRPr="00397EEA" w:rsidRDefault="00046CCA" w:rsidP="00046CCA">
      <w:r w:rsidRPr="00397EEA">
        <w:t>Куда большее внимание отрасли привлекает развитие ПДС. Так, по данным ЦБ, к системе ПДС во втором квартале присоединились 386,8 тыс. участников, и на конец июня их число составило 656,4 тыс. По договорам ПДС в отчетном квартале было получено 11,3 млрд руб. взносов. Впрочем, ПДС пока не оказывает существенного влияния на показатели рынка, программа находится в режиме разгона, итоги можно будет подвести в конце года, когда станет ясно, сколько клиентов с новыми деньгами смогли привлечь фонды, заключает господин Митрофанов.</w:t>
      </w:r>
    </w:p>
    <w:p w14:paraId="7E226188" w14:textId="77777777" w:rsidR="00C93890" w:rsidRPr="00397EEA" w:rsidRDefault="00C93890" w:rsidP="00C93890">
      <w:pPr>
        <w:pStyle w:val="2"/>
      </w:pPr>
      <w:bookmarkStart w:id="57" w:name="a6"/>
      <w:bookmarkStart w:id="58" w:name="_Toc175897217"/>
      <w:bookmarkEnd w:id="57"/>
      <w:r w:rsidRPr="00397EEA">
        <w:t>Парламентская газета, 29.08.2024, ЦБ: Число участников программы долгосрочных сбережений выросло до 1 млн</w:t>
      </w:r>
      <w:bookmarkEnd w:id="58"/>
    </w:p>
    <w:p w14:paraId="0804A49B" w14:textId="77777777" w:rsidR="00C93890" w:rsidRPr="00397EEA" w:rsidRDefault="00C93890" w:rsidP="00CB047E">
      <w:pPr>
        <w:pStyle w:val="3"/>
      </w:pPr>
      <w:bookmarkStart w:id="59" w:name="_Toc175897218"/>
      <w:r w:rsidRPr="00397EEA">
        <w:t>Число участников программы долгосрочных сбережений за апрель-июнь удвоилось, а середине августа превысило 1 миллион. Это следует из Обзора ключевых показателей негосударственных пенсионных фондов, опубликованного Банком России 29 августа.</w:t>
      </w:r>
      <w:bookmarkEnd w:id="59"/>
    </w:p>
    <w:p w14:paraId="352B8E13" w14:textId="77777777" w:rsidR="00C93890" w:rsidRPr="00397EEA" w:rsidRDefault="00C93890" w:rsidP="00C93890">
      <w:r w:rsidRPr="00397EEA">
        <w:t xml:space="preserve">Объем привлеченных в программу средств с учетом государственного софинансирования и заявлений о переводе пенсионных накоплений превысил 51 миллиард рублей, уточняется в документе. </w:t>
      </w:r>
    </w:p>
    <w:p w14:paraId="62F6387B" w14:textId="77777777" w:rsidR="00C93890" w:rsidRPr="00397EEA" w:rsidRDefault="00C93890" w:rsidP="00C93890">
      <w:r w:rsidRPr="00397EEA">
        <w:t>Во втором квартале темпы роста пенсионных резервов, идущих на исполнение обязательств по выплатам пенсий, ускорились, их объем к концу июня превысил 1,9 триллиона рублей. Это сказалось на совокупном объеме портфеля негосударственных пенсионных фондов (НПФ) и Социального фонда России (СФР) — по итогам квартала он вырос до 7,7 трлн рублей.</w:t>
      </w:r>
    </w:p>
    <w:p w14:paraId="1AE1AEC3" w14:textId="77777777" w:rsidR="00C93890" w:rsidRPr="00397EEA" w:rsidRDefault="00C93890" w:rsidP="00C93890">
      <w:r w:rsidRPr="00397EEA">
        <w:t>В ЦБ также указывают, что отток клиентов из НПФ замедлился: число застрахованных снизилось на 62,1 тысячи человек, что вполовину меньше, чем в первом квартале,  По итогам апреля-июня объем пенсионных накоплений вырос незначительно, до 3,3 триллиона рублей.</w:t>
      </w:r>
    </w:p>
    <w:p w14:paraId="5EFA2DC7" w14:textId="77777777" w:rsidR="00C93890" w:rsidRPr="00397EEA" w:rsidRDefault="00C93890" w:rsidP="00C93890">
      <w:r w:rsidRPr="00397EEA">
        <w:t>Напомним, программа долгосрочных сбережений заработала с января 2024 года. Граждане могут сделать добровольные взносы в негосударственные пенсионные фонды (НПФ), которые затем инвестируют эти средства, и человеку ежегодно начисляют до 36 тысяч рублей прибыли. Получить эти начисления можно через 15 лет с момента открытия счета либо в случае срочного серьезного лечения, или при потере кормильца.</w:t>
      </w:r>
    </w:p>
    <w:p w14:paraId="3EBB1B50" w14:textId="77777777" w:rsidR="00111D7C" w:rsidRPr="00397EEA" w:rsidRDefault="00997114" w:rsidP="00C93890">
      <w:hyperlink r:id="rId14" w:history="1">
        <w:r w:rsidR="00C93890" w:rsidRPr="00397EEA">
          <w:rPr>
            <w:rStyle w:val="a3"/>
          </w:rPr>
          <w:t>https://www.pnp.ru/economics/cb-chislo-uchastnikov-programmy-dolgosrochnykh-sberezheniy-vyroslo-do-1-mln.html</w:t>
        </w:r>
      </w:hyperlink>
    </w:p>
    <w:p w14:paraId="2B1394BF" w14:textId="77777777" w:rsidR="00117B8B" w:rsidRPr="00397EEA" w:rsidRDefault="00117B8B" w:rsidP="00117B8B">
      <w:pPr>
        <w:pStyle w:val="2"/>
      </w:pPr>
      <w:bookmarkStart w:id="60" w:name="a7"/>
      <w:bookmarkStart w:id="61" w:name="_Toc175897219"/>
      <w:bookmarkEnd w:id="60"/>
      <w:r w:rsidRPr="00397EEA">
        <w:t>Пенсия.pro, 29.08.2024, Светлана ЗАГОРОДНЕВА, Когда накопительную пенсию не стоит переводить в ПДС</w:t>
      </w:r>
      <w:bookmarkEnd w:id="61"/>
    </w:p>
    <w:p w14:paraId="293E1E35" w14:textId="77777777" w:rsidR="00117B8B" w:rsidRPr="00397EEA" w:rsidRDefault="00117B8B" w:rsidP="00CB047E">
      <w:pPr>
        <w:pStyle w:val="3"/>
      </w:pPr>
      <w:bookmarkStart w:id="62" w:name="_Toc175897220"/>
      <w:r w:rsidRPr="00397EEA">
        <w:t>Два очевидных плюса программы долгосрочных сбережений — софинансирование от государства и возможность получить налоговый вычет. Есть и третий, на этот счет можно перевести свою накопительную часть пенсии, забрать деньги у государства, сделать их своими и получать на них процент от инвестиций. Но есть случаи, когда лучше накопления не трогать. Объясняем на конкретных примерах.</w:t>
      </w:r>
      <w:bookmarkEnd w:id="62"/>
    </w:p>
    <w:p w14:paraId="4F19A148" w14:textId="77777777" w:rsidR="00117B8B" w:rsidRPr="00397EEA" w:rsidRDefault="00117B8B" w:rsidP="00117B8B">
      <w:r w:rsidRPr="00397EEA">
        <w:t>Перевод накопительной пенсии в ПДС: основные моменты</w:t>
      </w:r>
    </w:p>
    <w:p w14:paraId="254D32AE" w14:textId="77777777" w:rsidR="00117B8B" w:rsidRPr="00397EEA" w:rsidRDefault="00117B8B" w:rsidP="00117B8B">
      <w:r w:rsidRPr="00397EEA">
        <w:t>Накопительная пенсия есть у всех, кто до 2014 года был официально трудоустроен, размер зависит от зарплаты в те годы: работодатели перечисляли 6 % заработка в СФР (тогда — ПФР) или НПФ. Затем накопительную пенсию заморозили, то есть новые взносы не делаются. Но деньги не потерялись, они лежат в пенсионом фонде, который их инвестирует. Счет можно пополнить маткапиталом, но обязательных отчислений уже нет. Эти средства — часть обязательного пенсионного страхования, то есть накопления потом будут вашими, но сейчас они еще государственные.</w:t>
      </w:r>
    </w:p>
    <w:p w14:paraId="1D9E09CA" w14:textId="77777777" w:rsidR="00117B8B" w:rsidRPr="00397EEA" w:rsidRDefault="00117B8B" w:rsidP="00117B8B">
      <w:r w:rsidRPr="00397EEA">
        <w:t>Средства по программе долгосрочных сбережений — ваши. Софинансирование и получение налогового вычета на перевод накопительной пенсии не распространяется. Но деньги инвестируются, причем по более мягким правилам, то есть доходность может быть больше. Ну а кроме того, чем выше стартовая сумма, тем больше выгода при одном и том же проценте. В большинстве случаев перевести накопления на ПДС выгодно. Но рассчитать это стоит заранее.</w:t>
      </w:r>
    </w:p>
    <w:p w14:paraId="52EA5649" w14:textId="77777777" w:rsidR="00117B8B" w:rsidRPr="00397EEA" w:rsidRDefault="00117B8B" w:rsidP="00117B8B">
      <w:r w:rsidRPr="00397EEA">
        <w:t>Перевод накопительной пенсии в ПДС — операция однонаправленная, вернуть деньги обратно нельзя. Перевод возможен только всей суммы полностью.</w:t>
      </w:r>
    </w:p>
    <w:p w14:paraId="02FD0870" w14:textId="77777777" w:rsidR="00117B8B" w:rsidRPr="00397EEA" w:rsidRDefault="00117B8B" w:rsidP="00117B8B">
      <w:r w:rsidRPr="00397EEA">
        <w:t>Перевод пенсии разрешен только в пределах того фонда, где она находится. Если договор по ПДС оформлен в другом НПФ, сначала нужно будет подать заявление о переводе накопительной пенсии в новый НПФ, а уже потом — о переводе их в ПДС в рамках одного фонда.</w:t>
      </w:r>
    </w:p>
    <w:p w14:paraId="403962F7" w14:textId="77777777" w:rsidR="00117B8B" w:rsidRPr="00397EEA" w:rsidRDefault="00117B8B" w:rsidP="00117B8B">
      <w:r w:rsidRPr="00397EEA">
        <w:t>Когда выгоднее не трогать накопительную пенсию</w:t>
      </w:r>
    </w:p>
    <w:p w14:paraId="74967300" w14:textId="77777777" w:rsidR="00117B8B" w:rsidRPr="00397EEA" w:rsidRDefault="00117B8B" w:rsidP="00117B8B">
      <w:r w:rsidRPr="00397EEA">
        <w:t>Использовался маткапитал</w:t>
      </w:r>
    </w:p>
    <w:p w14:paraId="4AC6AC9A" w14:textId="77777777" w:rsidR="00117B8B" w:rsidRPr="00397EEA" w:rsidRDefault="00117B8B" w:rsidP="00117B8B">
      <w:r w:rsidRPr="00397EEA">
        <w:t xml:space="preserve">Женщины, получившие маткапитал, могут направить его на формирование будущей пенсии, если конкретнее — перевести сумму или ее часть в накопительную пенсию. А вот зачислить на счет по ПДС маткапитал нельзя. Даже если связку </w:t>
      </w:r>
      <w:r w:rsidR="00397EEA">
        <w:t>«</w:t>
      </w:r>
      <w:r w:rsidRPr="00397EEA">
        <w:t>маткапитал+накопительная пенсия</w:t>
      </w:r>
      <w:r w:rsidR="00397EEA">
        <w:t>»</w:t>
      </w:r>
      <w:r w:rsidRPr="00397EEA">
        <w:t xml:space="preserve"> попытаться перевести на ПДС, то уйдет только вторая часть. Маткап вернется в бюджет, его можно будет потратить на другие цели.</w:t>
      </w:r>
    </w:p>
    <w:p w14:paraId="42D87579" w14:textId="77777777" w:rsidR="00117B8B" w:rsidRPr="00397EEA" w:rsidRDefault="00117B8B" w:rsidP="00117B8B">
      <w:r w:rsidRPr="00397EEA">
        <w:t>По закону, если вернуть потраченный на пенсию маткапитал, то и инвестиции от этого вложения вкладчик потеряет. Так что если вкладывали серьезную сумму, а также если нет никаких других вариантов использования маткапа, то лучше держать эту выплату на накопительной пенсии.</w:t>
      </w:r>
    </w:p>
    <w:p w14:paraId="051F8185" w14:textId="77777777" w:rsidR="00117B8B" w:rsidRPr="00397EEA" w:rsidRDefault="00117B8B" w:rsidP="00117B8B">
      <w:r w:rsidRPr="00397EEA">
        <w:lastRenderedPageBreak/>
        <w:t xml:space="preserve">Участие в программе софинансирования </w:t>
      </w:r>
      <w:r w:rsidR="00397EEA">
        <w:t>«</w:t>
      </w:r>
      <w:r w:rsidRPr="00397EEA">
        <w:t>1000 на 1000</w:t>
      </w:r>
      <w:r w:rsidR="00397EEA">
        <w:t>»</w:t>
      </w:r>
    </w:p>
    <w:p w14:paraId="24B887A3" w14:textId="77777777" w:rsidR="00117B8B" w:rsidRPr="00397EEA" w:rsidRDefault="00117B8B" w:rsidP="00117B8B">
      <w:r w:rsidRPr="00397EEA">
        <w:t>С 2008 по 2014 годы в Россия была программа софинансирования по принципу 1000 на 1000: участники перечисляли в накопительную пенсию от 2000 рублей до 12 000 рублей в год, государство добавляло такую же сумму.</w:t>
      </w:r>
    </w:p>
    <w:p w14:paraId="56383428" w14:textId="77777777" w:rsidR="00117B8B" w:rsidRPr="00397EEA" w:rsidRDefault="00117B8B" w:rsidP="00117B8B">
      <w:r w:rsidRPr="00397EEA">
        <w:t>После перевода накопительной пенсии в ПДС прекращается уплата любых взносов на накопительную пенсию, в том числе по госпрограмме софинансирования, действовавшей в 2009 — 2014 годы.</w:t>
      </w:r>
    </w:p>
    <w:p w14:paraId="4535C85C" w14:textId="77777777" w:rsidR="00117B8B" w:rsidRPr="00397EEA" w:rsidRDefault="00117B8B" w:rsidP="00117B8B">
      <w:r w:rsidRPr="00397EEA">
        <w:t>Первый платеж по этой программе нужно было сделать до 31 декабря 2015 года. Государство обещало платить на протяжении 10 лет с года, следующего за годом внесения первого платежа. То есть последние сроки господдержки выходят в 2016 году. Отметим, та программа софинансировании популярность имела слабую. Но все же участники были. Им стоит потерпеть пару лет.</w:t>
      </w:r>
    </w:p>
    <w:p w14:paraId="3B54457E" w14:textId="77777777" w:rsidR="00117B8B" w:rsidRPr="00397EEA" w:rsidRDefault="00117B8B" w:rsidP="00117B8B">
      <w:r w:rsidRPr="00397EEA">
        <w:t>Доходность управляющей компании СФР бьет рекорды</w:t>
      </w:r>
    </w:p>
    <w:p w14:paraId="2AFAC4F9" w14:textId="77777777" w:rsidR="00117B8B" w:rsidRPr="00397EEA" w:rsidRDefault="00117B8B" w:rsidP="00117B8B">
      <w:r w:rsidRPr="00397EEA">
        <w:t>Инвестированием накопительных пенсий на самом деле занимаются не пенсионные фонды, а управляющие компании. НПФ отдают деньги нескольким УК: какие-то из них сработают лучше, какие-то хуже. Вкладчик сам может выбрать УК, но только если его пенсия находится в Соцфонде. Это будет одна УК с определенной схемой инвестирования, а менять управляющие компании можно ежегодно.</w:t>
      </w:r>
    </w:p>
    <w:p w14:paraId="716341E5" w14:textId="77777777" w:rsidR="00117B8B" w:rsidRPr="00397EEA" w:rsidRDefault="00117B8B" w:rsidP="00117B8B">
      <w:r w:rsidRPr="00397EEA">
        <w:t>Самые доходные УК показывают результат лучший, чем самые доходные НПФ.</w:t>
      </w:r>
    </w:p>
    <w:p w14:paraId="07E3EC4D" w14:textId="77777777" w:rsidR="00117B8B" w:rsidRPr="00397EEA" w:rsidRDefault="00117B8B" w:rsidP="00117B8B">
      <w:r w:rsidRPr="00397EEA">
        <w:t>СФР сотрудничает с 12 управляющими компаниями, есть из чего выбрать. Если ваша показывает высокую доходность и вы уверены, что никакой экстренной ситуации у вас не предвидится, возможно, лучше пенсию оставить в СФР.</w:t>
      </w:r>
    </w:p>
    <w:p w14:paraId="4DECEE0F" w14:textId="77777777" w:rsidR="00117B8B" w:rsidRPr="00397EEA" w:rsidRDefault="00117B8B" w:rsidP="00117B8B">
      <w:r w:rsidRPr="00397EEA">
        <w:t>Досрочники с желанием поскорее забрать деньги</w:t>
      </w:r>
    </w:p>
    <w:p w14:paraId="1575961C" w14:textId="77777777" w:rsidR="00117B8B" w:rsidRPr="00397EEA" w:rsidRDefault="00117B8B" w:rsidP="00117B8B">
      <w:r w:rsidRPr="00397EEA">
        <w:t>Что накопительную пенсию, что деньги от программы долгосрочных сбережений выплачивают в общем случае в один и тот же срок: в 55 лет женщинам и 60 лет мужчинам. У ПДС есть случаи, когда без штрафа можно забрать деньги досрочно, к тому же, их выплатят через 15 лет от первого взноса, если предпенсионный возраст еще не наступил.</w:t>
      </w:r>
    </w:p>
    <w:p w14:paraId="5B0C6FC9" w14:textId="77777777" w:rsidR="00117B8B" w:rsidRPr="00397EEA" w:rsidRDefault="00117B8B" w:rsidP="00117B8B">
      <w:r w:rsidRPr="00397EEA">
        <w:t>Но и у пенсии есть дополнительное условие. Ее выплачивают не просто в 55/60 лет — ее платят на пять лет раньше наступления пенсионного возраста. То есть если человек имеет право выйти на пенсию пораньше, то и накопительную пенсию ему выплатят раньше. Жители Крайнего Севера, к примеру, могут писать заявление в 50/55 лет. Если есть желание получить деньги как можно скорее, досрочникам лучше сохранить накопительную пенсию.</w:t>
      </w:r>
    </w:p>
    <w:p w14:paraId="07295408" w14:textId="77777777" w:rsidR="00117B8B" w:rsidRPr="00397EEA" w:rsidRDefault="00117B8B" w:rsidP="00117B8B">
      <w:r w:rsidRPr="00397EEA">
        <w:t>Забрать единовременно и пенсию, и средства по ПДС</w:t>
      </w:r>
    </w:p>
    <w:p w14:paraId="57895A7F" w14:textId="77777777" w:rsidR="00117B8B" w:rsidRPr="00397EEA" w:rsidRDefault="00117B8B" w:rsidP="00117B8B">
      <w:r w:rsidRPr="00397EEA">
        <w:t>Отказаться от перевода накопительной пенсии в ПДС в некоторых случаях стоит, если это единственный вариант получить все выплаты сразу одной суммой.</w:t>
      </w:r>
    </w:p>
    <w:p w14:paraId="4B619EB1" w14:textId="77777777" w:rsidR="00117B8B" w:rsidRPr="00397EEA" w:rsidRDefault="00117B8B" w:rsidP="00117B8B">
      <w:r w:rsidRPr="00397EEA">
        <w:t xml:space="preserve">ПДС позволяет выбирать самостоятельно, как получать выплаты: можно подписаться на пожизненную выплату (сумму рассчитают исходя из установленного возраста дожития), можно получать деньги на протяжении какого-то количества лет или забрать всю сумму сразу. Последнее — только для тех, кто держал счет по ПДС не менее 15 лет. Прошло меньше 15 лет? Ну что ж, единовременно тоже забрать можно, но только </w:t>
      </w:r>
      <w:r w:rsidRPr="00397EEA">
        <w:lastRenderedPageBreak/>
        <w:t>если размер назначенной пожизненной выплаты будет меньше 10% прожиточного минимума пенсионера.</w:t>
      </w:r>
    </w:p>
    <w:p w14:paraId="7B11BCFF" w14:textId="77777777" w:rsidR="00117B8B" w:rsidRPr="00397EEA" w:rsidRDefault="00117B8B" w:rsidP="00117B8B">
      <w:r w:rsidRPr="00397EEA">
        <w:t>С пенсией тяжелее. Там человек ничего не решает, только закон. Выплата на определенный срок назначается редко, это вариант для тех, кто вложил маткапитал или делал дополнительные взносы. Основной вариант — пожизненная выплата, в реальности это плюс 1000-2000 рублей к пенсии. Все деньги сразу отдадут только в одном случае — размер назначенной пожизненной выплаты будет меньше 10% прожиточного минимума пенсионера.</w:t>
      </w:r>
    </w:p>
    <w:p w14:paraId="728C7486" w14:textId="77777777" w:rsidR="00117B8B" w:rsidRPr="00397EEA" w:rsidRDefault="00117B8B" w:rsidP="00117B8B">
      <w:r w:rsidRPr="00397EEA">
        <w:t>Ну а дальше простая арифметика: чем меньше денег на счету, тем больше шансов попасть под это правило. Так что если до пенсии осталось недалеко, стоит посчитать целесообразность объединения капитала.</w:t>
      </w:r>
    </w:p>
    <w:p w14:paraId="115F3C7B" w14:textId="77777777" w:rsidR="00117B8B" w:rsidRPr="00397EEA" w:rsidRDefault="00117B8B" w:rsidP="00117B8B">
      <w:r w:rsidRPr="00397EEA">
        <w:t>Максим Игоревич в свои 56 лет планирует заключить договор по ПДС, хочет забрать деньги сразу же, как получит такое право, то есть в 60 лет. А еще у него есть накопительная пенсия. Ее он тоже хочет получить сразу полностью. Будущий пенсионер берет в руки калькулятор и считает:</w:t>
      </w:r>
    </w:p>
    <w:p w14:paraId="0DA001A5" w14:textId="77777777" w:rsidR="00117B8B" w:rsidRPr="00397EEA" w:rsidRDefault="00460EBE" w:rsidP="00117B8B">
      <w:bookmarkStart w:id="63" w:name="_GoBack"/>
      <w:r>
        <w:pict w14:anchorId="767723A3">
          <v:shape id="_x0000_i1026" type="#_x0000_t75" style="width:462pt;height:363.75pt">
            <v:imagedata r:id="rId15" o:title="Т1"/>
          </v:shape>
        </w:pict>
      </w:r>
      <w:bookmarkEnd w:id="63"/>
    </w:p>
    <w:p w14:paraId="4E6BCAF1" w14:textId="77777777" w:rsidR="00117B8B" w:rsidRPr="00397EEA" w:rsidRDefault="00117B8B" w:rsidP="00117B8B">
      <w:r w:rsidRPr="00397EEA">
        <w:t>Если Максим Игоревич переведет свою пенсию в ПДС, то в 60 лет ему откроется прекрасная перспектива получать дополнительно 2442 рубля к пенсии до конца дней. Ну или на протяжении нескольких лет сумму чуть больше. Если оставить все на своих местах, можно получить деньги сразу.</w:t>
      </w:r>
    </w:p>
    <w:p w14:paraId="18555BA4" w14:textId="77777777" w:rsidR="00117B8B" w:rsidRPr="00397EEA" w:rsidRDefault="00117B8B" w:rsidP="00117B8B">
      <w:r w:rsidRPr="00397EEA">
        <w:lastRenderedPageBreak/>
        <w:t>Подходит срок получения накопительной пенсии</w:t>
      </w:r>
    </w:p>
    <w:p w14:paraId="1DA95F1F" w14:textId="77777777" w:rsidR="00117B8B" w:rsidRPr="00397EEA" w:rsidRDefault="00117B8B" w:rsidP="00117B8B">
      <w:r w:rsidRPr="00397EEA">
        <w:t>Когда до возраста получения накопительной пенсии осталось совсем недолго, 2-3 года, стоит посчитать, не выгоднее ли дождаться этих выплат? Речь не только о случае назначения досрочной пенсии, но и о варианте, когда будущий пенсионер не хочет забирать средства из ПДС в 55/60 лет, планирует копить дальше.</w:t>
      </w:r>
    </w:p>
    <w:p w14:paraId="05B2F91D" w14:textId="77777777" w:rsidR="00117B8B" w:rsidRPr="00397EEA" w:rsidRDefault="00117B8B" w:rsidP="00117B8B">
      <w:r w:rsidRPr="00397EEA">
        <w:t>Если размер накопительной пенсии меньше 320 000 рублей, сумму можно будет получить единоразовой выплатой. А потом вносить ее на ПДС и получать софинансирование на эти средства. Если пенсию просто перевести в ПДС, то софинансирование на нее распространяться не будет.</w:t>
      </w:r>
    </w:p>
    <w:p w14:paraId="3E0B80A3" w14:textId="77777777" w:rsidR="00117B8B" w:rsidRPr="00397EEA" w:rsidRDefault="00117B8B" w:rsidP="00117B8B">
      <w:r w:rsidRPr="00397EEA">
        <w:t>Перевод пенсии накануне предпенсионного возраста</w:t>
      </w:r>
    </w:p>
    <w:p w14:paraId="5A52C268" w14:textId="77777777" w:rsidR="00117B8B" w:rsidRPr="00397EEA" w:rsidRDefault="00117B8B" w:rsidP="00117B8B">
      <w:r w:rsidRPr="00397EEA">
        <w:t>Для того, чтобы перевести накопительную пенсию на свой счет по ПДС, нужно, чтобы пенсия и договор по программе софинансирования были оформлены в одном и том же НПФ. А что, если сейчас деньги лежат в СФР? Ну или в НПФ, в успешность которого вы не верите? В этом случае шаг 1: перевод накопительной пенсии. Переход без потери денег называется срочным и длится пять лет (да, это такой юмор законодателей). Пенсия поступила в нужный пенсионный фонд? Можно писать заявление на перевод ее в новую программу. Исполнить заявку НПФ должен до 31 марта года, следующего за годом оформления заявления. В общем, процесс не быстрый.</w:t>
      </w:r>
    </w:p>
    <w:p w14:paraId="33F8FDC7" w14:textId="77777777" w:rsidR="00117B8B" w:rsidRPr="00397EEA" w:rsidRDefault="00117B8B" w:rsidP="00117B8B">
      <w:r w:rsidRPr="00397EEA">
        <w:t>Накопительную пенсию платят после наступления предпенсионного возраста, в 55/60 лет. Выходит, женщинам старше 50 и мужчинам за 55 лучше просто подождать выплату пенсии и вложить ее в ПДС наличными, если есть желание копить и дальше. Софинансирование-то 10 лет длится.</w:t>
      </w:r>
    </w:p>
    <w:p w14:paraId="722C87A4" w14:textId="77777777" w:rsidR="00117B8B" w:rsidRPr="00397EEA" w:rsidRDefault="00117B8B" w:rsidP="00117B8B">
      <w:r w:rsidRPr="00397EEA">
        <w:t xml:space="preserve">Когда накоплений </w:t>
      </w:r>
      <w:r w:rsidR="00397EEA">
        <w:t>«</w:t>
      </w:r>
      <w:r w:rsidRPr="00397EEA">
        <w:t>на три копейки</w:t>
      </w:r>
      <w:r w:rsidR="00397EEA">
        <w:t>»</w:t>
      </w:r>
      <w:r w:rsidRPr="00397EEA">
        <w:t>: переводить или нет</w:t>
      </w:r>
    </w:p>
    <w:p w14:paraId="315CA24E" w14:textId="77777777" w:rsidR="00117B8B" w:rsidRPr="00397EEA" w:rsidRDefault="00117B8B" w:rsidP="00117B8B">
      <w:r w:rsidRPr="00397EEA">
        <w:t>Не редкая ситуация, когда накопительная пенсия у работающего формироваться начала, но почти сразу государство эту программу заморозило. И на счете с тех пор инвестируется какая-то совсем небольшая сумма. Возникает вопрос — перекидывать ли ее в ПДС или эти копейки все равно погоды не сделают?</w:t>
      </w:r>
    </w:p>
    <w:p w14:paraId="49CB4A66" w14:textId="77777777" w:rsidR="00117B8B" w:rsidRPr="00397EEA" w:rsidRDefault="00117B8B" w:rsidP="00117B8B">
      <w:r w:rsidRPr="00397EEA">
        <w:t xml:space="preserve">Первым делом, стоит определиться, что такое для вас </w:t>
      </w:r>
      <w:r w:rsidR="00397EEA">
        <w:t>«</w:t>
      </w:r>
      <w:r w:rsidRPr="00397EEA">
        <w:t>копейки</w:t>
      </w:r>
      <w:r w:rsidR="00397EEA">
        <w:t>»</w:t>
      </w:r>
      <w:r w:rsidRPr="00397EEA">
        <w:t>. Посчитать можно с помощью калькулятора ПДС. Вот три ситуации в зависимости от итоговой суммы накопленного по ПДС (все прочие условия равные: ПДС на 15 лет, без учета налогового вычета, возраст, пол, зарплата, доходность единые).</w:t>
      </w:r>
    </w:p>
    <w:p w14:paraId="16F21083" w14:textId="77777777" w:rsidR="00117B8B" w:rsidRPr="00397EEA" w:rsidRDefault="00460EBE" w:rsidP="00117B8B">
      <w:r>
        <w:lastRenderedPageBreak/>
        <w:pict w14:anchorId="539F1EB9">
          <v:shape id="_x0000_i1027" type="#_x0000_t75" style="width:459pt;height:306.75pt">
            <v:imagedata r:id="rId16" o:title="Т1"/>
          </v:shape>
        </w:pict>
      </w:r>
    </w:p>
    <w:p w14:paraId="5F7022D1" w14:textId="77777777" w:rsidR="00117B8B" w:rsidRPr="00397EEA" w:rsidRDefault="00117B8B" w:rsidP="00117B8B">
      <w:r w:rsidRPr="00397EEA">
        <w:t>Конечно, даже лишняя тысяча рублей это деньги, которые не хотелось бы упускать. Пусть даже через 15 лет на эту тысячу можно будет купить кило огурцов. И кажется, будто накопительную пенсию лучше перевести. Ну или эта тысяча не стоит того, чтобы делать лишние движения мышкой по монитору. То есть если на счете около 1000 рублей, а ваш доход такой, что вы на завтрак тратите больше, возможно, вы можете просто об этом не думать.</w:t>
      </w:r>
    </w:p>
    <w:p w14:paraId="6BF492BA" w14:textId="77777777" w:rsidR="00117B8B" w:rsidRPr="00397EEA" w:rsidRDefault="00117B8B" w:rsidP="00117B8B">
      <w:r w:rsidRPr="00397EEA">
        <w:t>Есть еще один важный нефинансовый фактор. Государство любит экспериментировать с пенсиями. Что еще придумают, не известно. Поэтому однозначно дать рекомендацию невозможно.</w:t>
      </w:r>
    </w:p>
    <w:p w14:paraId="20ADCB81" w14:textId="77777777" w:rsidR="00117B8B" w:rsidRPr="00397EEA" w:rsidRDefault="00117B8B" w:rsidP="00117B8B">
      <w:r w:rsidRPr="00397EEA">
        <w:t>А когда переводить накопительную пенсию стоит?</w:t>
      </w:r>
    </w:p>
    <w:p w14:paraId="4664D6ED" w14:textId="77777777" w:rsidR="00117B8B" w:rsidRPr="00397EEA" w:rsidRDefault="00117B8B" w:rsidP="00117B8B">
      <w:r w:rsidRPr="00397EEA">
        <w:t>Во всех остальных случаях. То есть если маткапитал уже вложен в жилье, до пенсии далеко и никакой досрочной не будет, негосударственный фонд вам кажется успешнее государственного и никакой другой программы софинансирования у вас нет — смело превращайте деньги по обязательному пенсионному страхованию в свои личные сбережения. Вот три наглядных примера:</w:t>
      </w:r>
    </w:p>
    <w:p w14:paraId="25960B61" w14:textId="77777777" w:rsidR="00117B8B" w:rsidRPr="00397EEA" w:rsidRDefault="00117B8B" w:rsidP="00117B8B">
      <w:r w:rsidRPr="00397EEA">
        <w:t>Анне Ивановне 48 лет. Зарабатывает 92 000 рублей в месяц, открыла ПДС. Перечисляет на ПДС по 6000 рублей, налоговый вычет также вкладывает. Перевела свою накопительную пенсию, 350 000 рублей. Через 15 лет она заработает 3 733 692 рублей. Но для нее не это главное. Несколько лет назад она лечилась от онкологии. И теперь, если рак вернется, у нее будет источник денег на лечение, именно поэтому она перевела свою накопительную пенсию.</w:t>
      </w:r>
    </w:p>
    <w:p w14:paraId="083F5472" w14:textId="77777777" w:rsidR="00117B8B" w:rsidRPr="00397EEA" w:rsidRDefault="00117B8B" w:rsidP="00117B8B">
      <w:r w:rsidRPr="00397EEA">
        <w:t xml:space="preserve">Артему 29 лет. Сейчас его доход 69 000 рублей. Он будет ежемесячно отчислять в ПДС по 3000 рублей, налоговый вычет планирует забирать, зарплата-то небольшая. А вот </w:t>
      </w:r>
      <w:r w:rsidRPr="00397EEA">
        <w:lastRenderedPageBreak/>
        <w:t>накопительную пенсию переведет, хоть там и всего 11 000 рублей. Через 15 лет он получит 1 659 651 рубль. Если бы пенсию не перевел, итоговая сумма была бы на 28 000 рублей меньше. Артем не хочет терять эти деньги. Плюс он помнит, как он выбивал себе официальное трудоустройство и думал, что 6 % его дохода точно достанутся ему в старости, ну или наследникам.</w:t>
      </w:r>
    </w:p>
    <w:p w14:paraId="0097427B" w14:textId="77777777" w:rsidR="00117B8B" w:rsidRPr="00397EEA" w:rsidRDefault="00117B8B" w:rsidP="00117B8B">
      <w:r w:rsidRPr="00397EEA">
        <w:t>Мария Викторовна в свои 38 лет доросла до позиции топ-менеджера в банке. Ее зарплата сейчас 280 000 рублей. Она подписывает договор по ПДС, ее сумма для максимального софинансирования — 12 000 рублей в месяц. Налоговый вычет она будет переводить в ПДС. И накопительную пенсию тоже. На этом счете оказалось 36 000 рублей. Через 15 лет она заберет 5 057 617 рублей. Если бы не переводила пенсию, получила бы на 93 000 меньше. Неплохо. Но на самом деле она решила перевести накопления не только по финансовой причине: 36 000 рублей это три ее нынешних платежа по программе долгосрочных сбережений и в принципе невысокая сумма при текущем уровне дохода. Она боится, что к пенсии просто забудет про этот счет и не потребует выдать деньги. А уж просто так дарить государству свое она не намерена.</w:t>
      </w:r>
    </w:p>
    <w:bookmarkStart w:id="64" w:name="_Hlk175896928"/>
    <w:p w14:paraId="45DE0A7A" w14:textId="77777777" w:rsidR="00117B8B" w:rsidRPr="00397EEA" w:rsidRDefault="00997114" w:rsidP="00117B8B">
      <w:r>
        <w:fldChar w:fldCharType="begin"/>
      </w:r>
      <w:r>
        <w:instrText>HYPERLINK "https://pensiya.pro/kogda-perevodit-nakopitelnuyu-pensiyu-v-pds-ne-vygodno-vse-sem-sluchaev/"</w:instrText>
      </w:r>
      <w:r>
        <w:fldChar w:fldCharType="separate"/>
      </w:r>
      <w:r w:rsidR="00117B8B" w:rsidRPr="00397EEA">
        <w:rPr>
          <w:rStyle w:val="a3"/>
        </w:rPr>
        <w:t>https://pensiya.pro/kogda-perevodit-nakopitelnuyu-pensiyu-v-pds-ne-vygodno-vse-sem-sluchaev/</w:t>
      </w:r>
      <w:r>
        <w:rPr>
          <w:rStyle w:val="a3"/>
        </w:rPr>
        <w:fldChar w:fldCharType="end"/>
      </w:r>
      <w:r w:rsidR="00117B8B" w:rsidRPr="00397EEA">
        <w:t xml:space="preserve"> </w:t>
      </w:r>
    </w:p>
    <w:p w14:paraId="130010EB" w14:textId="77777777" w:rsidR="00B868D6" w:rsidRPr="00397EEA" w:rsidRDefault="00B868D6" w:rsidP="00B868D6">
      <w:pPr>
        <w:pStyle w:val="2"/>
      </w:pPr>
      <w:bookmarkStart w:id="65" w:name="a8"/>
      <w:bookmarkStart w:id="66" w:name="_Toc175897221"/>
      <w:bookmarkEnd w:id="64"/>
      <w:bookmarkEnd w:id="65"/>
      <w:r w:rsidRPr="00397EEA">
        <w:t>НАПФ, 29.08.2024, Работники образования чаще других заключают договор ПДС - НАПФ</w:t>
      </w:r>
      <w:bookmarkEnd w:id="66"/>
    </w:p>
    <w:p w14:paraId="0495B78E" w14:textId="77777777" w:rsidR="00B868D6" w:rsidRPr="00397EEA" w:rsidRDefault="00B868D6" w:rsidP="00CB047E">
      <w:pPr>
        <w:pStyle w:val="3"/>
      </w:pPr>
      <w:bookmarkStart w:id="67" w:name="_Toc175897222"/>
      <w:r w:rsidRPr="00397EEA">
        <w:t>Наибольший спрос на заключение договоров в рамках программы долгосрочных сбережений (ПДС) наблюдается со стороны работников образования. Их среди заключивших договоры 36 %, заявил вице-президент Национальной ассоциации негосударственных пенсионных фондов Алексей Денисов.</w:t>
      </w:r>
      <w:bookmarkEnd w:id="67"/>
    </w:p>
    <w:p w14:paraId="7EAF6E31" w14:textId="77777777" w:rsidR="00B868D6" w:rsidRPr="00397EEA" w:rsidRDefault="00B868D6" w:rsidP="00B868D6">
      <w:r w:rsidRPr="00397EEA">
        <w:t>Следом после учителей и прочих педагогических работников идут врачи и медперсонал, а также чиновники - таких по 11 %. А банковские клерки и финансисты, которые, по логике вещей, должны быть самыми осведомленными о ПДС, не так активны - среди них участников госпрограммы только 8 %.</w:t>
      </w:r>
    </w:p>
    <w:p w14:paraId="2B234311" w14:textId="77777777" w:rsidR="00B868D6" w:rsidRPr="00397EEA" w:rsidRDefault="00B868D6" w:rsidP="00B868D6">
      <w:r w:rsidRPr="00397EEA">
        <w:t>Среди пенсионеров желающих заключить договор ПДС ожидаемо немного - только 3,5 %, сообщил Денисов.</w:t>
      </w:r>
    </w:p>
    <w:p w14:paraId="02D0A0FF" w14:textId="77777777" w:rsidR="00B868D6" w:rsidRPr="00397EEA" w:rsidRDefault="00B868D6" w:rsidP="00B868D6">
      <w:r w:rsidRPr="00397EEA">
        <w:t xml:space="preserve">ПДС начала работать 1 января 2024 года. Операторами выступают 25 НПФ, договор заключается на 15 лет или до достижения возраста 55 лет (у женщин) и 60 лет (у мужчин). Владельцы смогут использовать накопленные средства для дополнительных периодических выплат. Предусмотрены единовременные выплаты в случае наступления </w:t>
      </w:r>
      <w:r w:rsidR="00397EEA">
        <w:t>«</w:t>
      </w:r>
      <w:r w:rsidRPr="00397EEA">
        <w:t>особых жизненных ситуаций</w:t>
      </w:r>
      <w:r w:rsidR="00397EEA">
        <w:t>»</w:t>
      </w:r>
      <w:r w:rsidRPr="00397EEA">
        <w:t>, софинансирование от государства и налоговый вычет. Накопленные средства можно передать по наследству.</w:t>
      </w:r>
    </w:p>
    <w:p w14:paraId="18BD047F" w14:textId="77777777" w:rsidR="00B868D6" w:rsidRPr="00397EEA" w:rsidRDefault="00B868D6" w:rsidP="00B868D6">
      <w:r w:rsidRPr="00397EEA">
        <w:t xml:space="preserve">При этом 69 % учителей не в курсе, кто управляет их пенсионными накоплениями и как получить эту информацию. Чаще других такой ответ давали молодые специалисты 20-35 лет. Просвещены в этом вопросе ожидаемо педагоги 45+. Это ранее показал опрос НПФ </w:t>
      </w:r>
      <w:r w:rsidR="00397EEA">
        <w:t>«</w:t>
      </w:r>
      <w:r w:rsidRPr="00397EEA">
        <w:t>Достойное будущее</w:t>
      </w:r>
      <w:r w:rsidR="00397EEA">
        <w:t>»</w:t>
      </w:r>
      <w:r w:rsidRPr="00397EEA">
        <w:t xml:space="preserve"> и Общероссийского профсоюза образования.</w:t>
      </w:r>
    </w:p>
    <w:p w14:paraId="266235E9" w14:textId="77777777" w:rsidR="00B868D6" w:rsidRPr="00397EEA" w:rsidRDefault="00997114" w:rsidP="00B868D6">
      <w:hyperlink r:id="rId17" w:history="1">
        <w:r w:rsidR="00B868D6" w:rsidRPr="00397EEA">
          <w:rPr>
            <w:rStyle w:val="a3"/>
          </w:rPr>
          <w:t>http://www.napf.ru/247533</w:t>
        </w:r>
      </w:hyperlink>
      <w:r w:rsidR="00B868D6" w:rsidRPr="00397EEA">
        <w:t xml:space="preserve"> </w:t>
      </w:r>
    </w:p>
    <w:p w14:paraId="20BAF7D9" w14:textId="77777777" w:rsidR="00B868D6" w:rsidRPr="00397EEA" w:rsidRDefault="00B868D6" w:rsidP="00B868D6">
      <w:pPr>
        <w:pStyle w:val="2"/>
      </w:pPr>
      <w:bookmarkStart w:id="68" w:name="_Toc175897223"/>
      <w:bookmarkStart w:id="69" w:name="_Hlk175897024"/>
      <w:r w:rsidRPr="00397EEA">
        <w:lastRenderedPageBreak/>
        <w:t xml:space="preserve">Блокнот, 29.08.2024, </w:t>
      </w:r>
      <w:r w:rsidR="00397EEA">
        <w:t>«</w:t>
      </w:r>
      <w:r w:rsidRPr="00397EEA">
        <w:t>Почему я не пришла раньше, я бы сэкономила кучу денег</w:t>
      </w:r>
      <w:r w:rsidR="00397EEA">
        <w:t>»</w:t>
      </w:r>
      <w:r w:rsidRPr="00397EEA">
        <w:t>: в Москве завершается неделя финансовой грамотности</w:t>
      </w:r>
      <w:bookmarkEnd w:id="68"/>
    </w:p>
    <w:p w14:paraId="3FC30F42" w14:textId="77777777" w:rsidR="00B868D6" w:rsidRPr="00397EEA" w:rsidRDefault="00B868D6" w:rsidP="00CB047E">
      <w:pPr>
        <w:pStyle w:val="3"/>
      </w:pPr>
      <w:bookmarkStart w:id="70" w:name="_Toc175897224"/>
      <w:r w:rsidRPr="00397EEA">
        <w:t xml:space="preserve">С 23 по 29 августа 2024 года в рамках форума-фестиваля </w:t>
      </w:r>
      <w:r w:rsidR="00397EEA">
        <w:t>«</w:t>
      </w:r>
      <w:r w:rsidRPr="00397EEA">
        <w:t>Территория будущего. Москва 2030</w:t>
      </w:r>
      <w:r w:rsidR="00397EEA">
        <w:t>»</w:t>
      </w:r>
      <w:r w:rsidRPr="00397EEA">
        <w:t xml:space="preserve"> в парке </w:t>
      </w:r>
      <w:r w:rsidR="00397EEA">
        <w:t>«</w:t>
      </w:r>
      <w:r w:rsidRPr="00397EEA">
        <w:t>Зарядье</w:t>
      </w:r>
      <w:r w:rsidR="00397EEA">
        <w:t>»</w:t>
      </w:r>
      <w:r w:rsidRPr="00397EEA">
        <w:t xml:space="preserve"> состоялось мероприятие, направленное на повышение уровня финансовой грамотности среди граждан.</w:t>
      </w:r>
      <w:bookmarkEnd w:id="70"/>
    </w:p>
    <w:p w14:paraId="392D1F22" w14:textId="77777777" w:rsidR="00B868D6" w:rsidRPr="00397EEA" w:rsidRDefault="00B868D6" w:rsidP="00B868D6">
      <w:r w:rsidRPr="00397EEA">
        <w:t>В рамках мероприятия была организована серия мастер-классов, кейс-сессий, деловых игр, финансовых стендапов, открытых разговоров и даже финансовых девичников, где участники могли узнать о разных экономических инструментах и их использовании.</w:t>
      </w:r>
    </w:p>
    <w:p w14:paraId="1310321F" w14:textId="4A249A58" w:rsidR="00B868D6" w:rsidRPr="00397EEA" w:rsidRDefault="00397EEA" w:rsidP="00B868D6">
      <w:r>
        <w:t>«</w:t>
      </w:r>
      <w:r w:rsidR="00B868D6" w:rsidRPr="00397EEA">
        <w:t xml:space="preserve">Я даже не знала, что в Москве такое есть, сейчас стою и думаю, почему не пришла раньше, я бы тогда сэкономила кучу денег. На практических </w:t>
      </w:r>
      <w:r w:rsidR="00095A57" w:rsidRPr="00397EEA">
        <w:t>мастер-классах</w:t>
      </w:r>
      <w:r w:rsidR="00B868D6" w:rsidRPr="00397EEA">
        <w:t xml:space="preserve"> нам </w:t>
      </w:r>
      <w:r w:rsidR="00095A57" w:rsidRPr="00397EEA">
        <w:t>рассказывали,</w:t>
      </w:r>
      <w:r w:rsidR="00B868D6" w:rsidRPr="00397EEA">
        <w:t xml:space="preserve"> как более рационально можно распределить свои ресурсы, как вообще инвестировать и копить. Больше всего мне понравилась лекция от Бориса Кулика</w:t>
      </w:r>
      <w:r w:rsidR="00095A57">
        <w:t>»</w:t>
      </w:r>
      <w:r w:rsidR="00B868D6" w:rsidRPr="00397EEA">
        <w:t>, — поделилась Елизавета, одна из посетительниц мероприятия.</w:t>
      </w:r>
    </w:p>
    <w:p w14:paraId="6F5F8FC6" w14:textId="77777777" w:rsidR="00B868D6" w:rsidRPr="00397EEA" w:rsidRDefault="00B868D6" w:rsidP="00B868D6">
      <w:r w:rsidRPr="00397EEA">
        <w:t xml:space="preserve">Также спикерами лектория были актёры Михаил Башкатов и Иван Пышненко, руководитель Дирекции финансовой грамотности НИФИ Минфина России Михаил Сергейчик, вице-президент СРО </w:t>
      </w:r>
      <w:r w:rsidRPr="00397EEA">
        <w:rPr>
          <w:b/>
        </w:rPr>
        <w:t>НАПФ</w:t>
      </w:r>
      <w:r w:rsidRPr="00397EEA">
        <w:t xml:space="preserve"> Алексей Денисов и другие.</w:t>
      </w:r>
    </w:p>
    <w:p w14:paraId="401B87D4" w14:textId="77777777" w:rsidR="00B868D6" w:rsidRPr="00397EEA" w:rsidRDefault="00B868D6" w:rsidP="00B868D6">
      <w:r w:rsidRPr="00397EEA">
        <w:t xml:space="preserve">В рамках недели финансовой грамотности также были представлены интерактивные зоны, где гостей встречали робособаки. Роботы варили кофе, а также во время всех дней форума проходил стендап на тему финансов с искусственным интеллектом </w:t>
      </w:r>
      <w:r w:rsidR="00397EEA">
        <w:t>«</w:t>
      </w:r>
      <w:r w:rsidRPr="00397EEA">
        <w:t>Арди</w:t>
      </w:r>
      <w:r w:rsidR="00397EEA">
        <w:t>»</w:t>
      </w:r>
      <w:r w:rsidRPr="00397EEA">
        <w:t>.</w:t>
      </w:r>
    </w:p>
    <w:p w14:paraId="7B36B53E" w14:textId="77777777" w:rsidR="00B868D6" w:rsidRPr="00397EEA" w:rsidRDefault="00397EEA" w:rsidP="00B868D6">
      <w:r>
        <w:t>«</w:t>
      </w:r>
      <w:r w:rsidR="00B868D6" w:rsidRPr="00397EEA">
        <w:t>На самом деле мы сами с удовольствием приняли участие в проведении этого мероприятия. Обычно при подготовке ты не задумываешься, что можешь помочь стольким людям узнать что-то новое и полезное, но когда реальные люди подходят и благодорят за помощь, это дорогого стоит. Мне кажется, что мы смогли сделать все на высшем уровне</w:t>
      </w:r>
      <w:r>
        <w:t>»</w:t>
      </w:r>
      <w:r w:rsidR="00B868D6" w:rsidRPr="00397EEA">
        <w:t>, — рассказал один из членов Молодежного общественного совета Котляров Герман.</w:t>
      </w:r>
    </w:p>
    <w:p w14:paraId="7CD3F492" w14:textId="77777777" w:rsidR="00B868D6" w:rsidRPr="00397EEA" w:rsidRDefault="00B868D6" w:rsidP="00B868D6">
      <w:r w:rsidRPr="00397EEA">
        <w:t>Добавим, что по данным статистики, на сегодняшний день 70% россиян демонстрируют высокий или средний уровень финансовой грамотности, 30% - низкий. В сравнении с замером 2022 года, выросла доля людей, имеющих установку на сберегательное поведение (33% - сегодня, 29% - в 2022 году).</w:t>
      </w:r>
    </w:p>
    <w:p w14:paraId="6A5A785A" w14:textId="77777777" w:rsidR="00B868D6" w:rsidRPr="00397EEA" w:rsidRDefault="00997114" w:rsidP="00B868D6">
      <w:hyperlink r:id="rId18" w:history="1">
        <w:r w:rsidR="00B868D6" w:rsidRPr="00397EEA">
          <w:rPr>
            <w:rStyle w:val="a3"/>
          </w:rPr>
          <w:t>https://bloknot.ru/obshhestvo/pochemu-ya-ne-prishla-ranshe-ya-by-sekonomila-kuchu-deneg-v-moskve-zavershaetsya-nedelya-finansovoj-gramotnosti-1331603.html</w:t>
        </w:r>
      </w:hyperlink>
      <w:bookmarkEnd w:id="69"/>
      <w:r w:rsidR="00B868D6" w:rsidRPr="00397EEA">
        <w:t xml:space="preserve"> </w:t>
      </w:r>
    </w:p>
    <w:p w14:paraId="2BC80384" w14:textId="77777777" w:rsidR="001A0979" w:rsidRPr="00397EEA" w:rsidRDefault="001A0979" w:rsidP="001A0979">
      <w:pPr>
        <w:pStyle w:val="TitleDoubles"/>
        <w:ind w:left="567"/>
      </w:pPr>
      <w:bookmarkStart w:id="71" w:name="_Toc174376436"/>
      <w:bookmarkStart w:id="72" w:name="_Toc174376525"/>
      <w:r w:rsidRPr="00397EEA">
        <w:t>Сообщения с аналогичным содержанием:</w:t>
      </w:r>
    </w:p>
    <w:p w14:paraId="333BAB3B" w14:textId="77777777" w:rsidR="001A0979" w:rsidRPr="00397EEA" w:rsidRDefault="001A0979" w:rsidP="001A0979">
      <w:pPr>
        <w:spacing w:before="60" w:after="0"/>
        <w:ind w:left="567"/>
        <w:jc w:val="left"/>
        <w:rPr>
          <w:rFonts w:ascii="Arial" w:eastAsia="Calibri" w:hAnsi="Arial"/>
          <w:b/>
          <w:bCs/>
          <w:iCs/>
          <w:sz w:val="16"/>
          <w:lang w:eastAsia="en-US"/>
        </w:rPr>
      </w:pPr>
      <w:bookmarkStart w:id="73" w:name="_Toc175845514"/>
      <w:bookmarkStart w:id="74" w:name="_Toc175845604"/>
      <w:bookmarkStart w:id="75" w:name="_Toc175845528"/>
      <w:bookmarkStart w:id="76" w:name="_Toc175845618"/>
      <w:bookmarkEnd w:id="71"/>
      <w:bookmarkEnd w:id="72"/>
      <w:r w:rsidRPr="00397EEA">
        <w:rPr>
          <w:rFonts w:ascii="Arial" w:eastAsia="Calibri" w:hAnsi="Arial"/>
          <w:b/>
          <w:bCs/>
          <w:iCs/>
          <w:sz w:val="16"/>
          <w:lang w:eastAsia="en-US"/>
        </w:rPr>
        <w:t xml:space="preserve">29.08.2024 </w:t>
      </w:r>
      <w:r w:rsidRPr="00397EEA">
        <w:rPr>
          <w:rFonts w:ascii="Arial" w:eastAsia="Calibri" w:hAnsi="Arial"/>
          <w:b/>
          <w:bCs/>
          <w:iCs/>
          <w:sz w:val="16"/>
          <w:lang w:eastAsia="en-US"/>
        </w:rPr>
        <w:br/>
        <w:t>Мой Бийск</w:t>
      </w:r>
      <w:r w:rsidRPr="00397EEA">
        <w:rPr>
          <w:rFonts w:ascii="Arial" w:eastAsia="Calibri" w:hAnsi="Arial"/>
          <w:b/>
          <w:bCs/>
          <w:iCs/>
          <w:sz w:val="16"/>
          <w:lang w:eastAsia="en-US"/>
        </w:rPr>
        <w:br/>
      </w:r>
      <w:r w:rsidR="00397EEA">
        <w:rPr>
          <w:rFonts w:ascii="Arial" w:eastAsia="Calibri" w:hAnsi="Arial"/>
          <w:b/>
          <w:bCs/>
          <w:iCs/>
          <w:sz w:val="16"/>
          <w:lang w:eastAsia="en-US"/>
        </w:rPr>
        <w:t>«</w:t>
      </w:r>
      <w:r w:rsidRPr="00397EEA">
        <w:rPr>
          <w:rFonts w:ascii="Arial" w:eastAsia="Calibri" w:hAnsi="Arial"/>
          <w:b/>
          <w:bCs/>
          <w:iCs/>
          <w:sz w:val="16"/>
          <w:lang w:eastAsia="en-US"/>
        </w:rPr>
        <w:t>Почему я не пришла раньше, я бы сэкономила кучу денег</w:t>
      </w:r>
      <w:r w:rsidR="00397EEA">
        <w:rPr>
          <w:rFonts w:ascii="Arial" w:eastAsia="Calibri" w:hAnsi="Arial"/>
          <w:b/>
          <w:bCs/>
          <w:iCs/>
          <w:sz w:val="16"/>
          <w:lang w:eastAsia="en-US"/>
        </w:rPr>
        <w:t>»</w:t>
      </w:r>
      <w:r w:rsidRPr="00397EEA">
        <w:rPr>
          <w:rFonts w:ascii="Arial" w:eastAsia="Calibri" w:hAnsi="Arial"/>
          <w:b/>
          <w:bCs/>
          <w:iCs/>
          <w:sz w:val="16"/>
          <w:lang w:eastAsia="en-US"/>
        </w:rPr>
        <w:t>: в Москве завершилась неделя финансовой грамотности</w:t>
      </w:r>
      <w:bookmarkEnd w:id="73"/>
      <w:bookmarkEnd w:id="74"/>
    </w:p>
    <w:p w14:paraId="1324CCD4" w14:textId="77777777" w:rsidR="001A0979" w:rsidRPr="00397EEA" w:rsidRDefault="00997114" w:rsidP="001A0979">
      <w:pPr>
        <w:spacing w:before="60" w:after="0"/>
        <w:ind w:left="567"/>
        <w:jc w:val="left"/>
        <w:rPr>
          <w:rFonts w:ascii="Arial" w:eastAsia="Calibri" w:hAnsi="Arial"/>
          <w:bCs/>
          <w:iCs/>
          <w:sz w:val="16"/>
          <w:lang w:eastAsia="en-US"/>
        </w:rPr>
      </w:pPr>
      <w:hyperlink r:id="rId19" w:history="1">
        <w:r w:rsidR="001A0979" w:rsidRPr="00397EEA">
          <w:rPr>
            <w:rStyle w:val="a3"/>
            <w:rFonts w:ascii="Arial" w:eastAsia="Calibri" w:hAnsi="Arial"/>
            <w:bCs/>
            <w:iCs/>
            <w:sz w:val="16"/>
            <w:lang w:eastAsia="en-US"/>
          </w:rPr>
          <w:t>https://mybiysk.ru/society/pochemu-ya-ne-prishla-ranshe-ya-by-sekonomila-kuchu-deneg-v-moskve-zavershilas-nedelya-finansovoj-gramotnosti-498774</w:t>
        </w:r>
      </w:hyperlink>
    </w:p>
    <w:p w14:paraId="05D2A50E" w14:textId="77777777" w:rsidR="001A0979" w:rsidRPr="00397EEA" w:rsidRDefault="001A0979" w:rsidP="001A0979">
      <w:pPr>
        <w:spacing w:before="60" w:after="0"/>
        <w:ind w:left="567"/>
        <w:jc w:val="left"/>
        <w:rPr>
          <w:rFonts w:ascii="Arial" w:eastAsia="Calibri" w:hAnsi="Arial"/>
          <w:b/>
          <w:bCs/>
          <w:iCs/>
          <w:sz w:val="16"/>
          <w:lang w:eastAsia="en-US"/>
        </w:rPr>
      </w:pPr>
      <w:bookmarkStart w:id="77" w:name="d_5051565779774ae4b5dc02ef58aee887"/>
      <w:bookmarkStart w:id="78" w:name="_Toc175845515"/>
      <w:bookmarkStart w:id="79" w:name="_Toc175845605"/>
      <w:bookmarkEnd w:id="77"/>
      <w:r w:rsidRPr="00397EEA">
        <w:rPr>
          <w:rFonts w:ascii="Arial" w:eastAsia="Calibri" w:hAnsi="Arial"/>
          <w:b/>
          <w:bCs/>
          <w:iCs/>
          <w:sz w:val="16"/>
          <w:lang w:eastAsia="en-US"/>
        </w:rPr>
        <w:t xml:space="preserve">29.08.2024 </w:t>
      </w:r>
      <w:r w:rsidRPr="00397EEA">
        <w:rPr>
          <w:rFonts w:ascii="Arial" w:eastAsia="Calibri" w:hAnsi="Arial"/>
          <w:b/>
          <w:bCs/>
          <w:iCs/>
          <w:sz w:val="16"/>
          <w:lang w:eastAsia="en-US"/>
        </w:rPr>
        <w:br/>
        <w:t>Новости России</w:t>
      </w:r>
      <w:r w:rsidRPr="00397EEA">
        <w:rPr>
          <w:rFonts w:ascii="Arial" w:eastAsia="Calibri" w:hAnsi="Arial"/>
          <w:b/>
          <w:bCs/>
          <w:iCs/>
          <w:sz w:val="16"/>
          <w:lang w:eastAsia="en-US"/>
        </w:rPr>
        <w:br/>
      </w:r>
      <w:r w:rsidR="00397EEA">
        <w:rPr>
          <w:rFonts w:ascii="Arial" w:eastAsia="Calibri" w:hAnsi="Arial"/>
          <w:b/>
          <w:bCs/>
          <w:iCs/>
          <w:sz w:val="16"/>
          <w:lang w:eastAsia="en-US"/>
        </w:rPr>
        <w:t>«</w:t>
      </w:r>
      <w:r w:rsidRPr="00397EEA">
        <w:rPr>
          <w:rFonts w:ascii="Arial" w:eastAsia="Calibri" w:hAnsi="Arial"/>
          <w:b/>
          <w:bCs/>
          <w:iCs/>
          <w:sz w:val="16"/>
          <w:lang w:eastAsia="en-US"/>
        </w:rPr>
        <w:t>Почему я не пришла раньше, я бы сэкономила кучу денег</w:t>
      </w:r>
      <w:r w:rsidR="00397EEA">
        <w:rPr>
          <w:rFonts w:ascii="Arial" w:eastAsia="Calibri" w:hAnsi="Arial"/>
          <w:b/>
          <w:bCs/>
          <w:iCs/>
          <w:sz w:val="16"/>
          <w:lang w:eastAsia="en-US"/>
        </w:rPr>
        <w:t>»</w:t>
      </w:r>
      <w:r w:rsidRPr="00397EEA">
        <w:rPr>
          <w:rFonts w:ascii="Arial" w:eastAsia="Calibri" w:hAnsi="Arial"/>
          <w:b/>
          <w:bCs/>
          <w:iCs/>
          <w:sz w:val="16"/>
          <w:lang w:eastAsia="en-US"/>
        </w:rPr>
        <w:t>: в Москве завершилась неделя финансовой грамотности</w:t>
      </w:r>
      <w:bookmarkEnd w:id="78"/>
      <w:bookmarkEnd w:id="79"/>
    </w:p>
    <w:p w14:paraId="7D12BADC" w14:textId="77777777" w:rsidR="001A0979" w:rsidRPr="00397EEA" w:rsidRDefault="00997114" w:rsidP="001A0979">
      <w:pPr>
        <w:spacing w:before="60" w:after="0"/>
        <w:ind w:left="567"/>
        <w:jc w:val="left"/>
        <w:rPr>
          <w:rFonts w:ascii="Arial" w:eastAsia="Calibri" w:hAnsi="Arial"/>
          <w:bCs/>
          <w:iCs/>
          <w:sz w:val="16"/>
          <w:lang w:eastAsia="en-US"/>
        </w:rPr>
      </w:pPr>
      <w:hyperlink r:id="rId20" w:history="1">
        <w:r w:rsidR="001A0979" w:rsidRPr="00397EEA">
          <w:rPr>
            <w:rStyle w:val="a3"/>
            <w:rFonts w:ascii="Arial" w:eastAsia="Calibri" w:hAnsi="Arial"/>
            <w:bCs/>
            <w:iCs/>
            <w:sz w:val="16"/>
            <w:lang w:eastAsia="en-US"/>
          </w:rPr>
          <w:t>https://news-life.pro/moscow/386478811/</w:t>
        </w:r>
      </w:hyperlink>
    </w:p>
    <w:p w14:paraId="529793A4" w14:textId="77777777" w:rsidR="001A0979" w:rsidRPr="00397EEA" w:rsidRDefault="001A0979" w:rsidP="001A0979">
      <w:pPr>
        <w:spacing w:before="60" w:after="0"/>
        <w:ind w:left="567"/>
        <w:jc w:val="left"/>
        <w:rPr>
          <w:rFonts w:ascii="Arial" w:eastAsia="Calibri" w:hAnsi="Arial"/>
          <w:b/>
          <w:bCs/>
          <w:iCs/>
          <w:sz w:val="16"/>
          <w:lang w:eastAsia="en-US"/>
        </w:rPr>
      </w:pPr>
      <w:r w:rsidRPr="00397EEA">
        <w:rPr>
          <w:rFonts w:ascii="Arial" w:eastAsia="Calibri" w:hAnsi="Arial"/>
          <w:b/>
          <w:bCs/>
          <w:iCs/>
          <w:sz w:val="16"/>
          <w:lang w:eastAsia="en-US"/>
        </w:rPr>
        <w:lastRenderedPageBreak/>
        <w:t>29.08.2024</w:t>
      </w:r>
      <w:r w:rsidRPr="00397EEA">
        <w:rPr>
          <w:rFonts w:ascii="Arial" w:eastAsia="Calibri" w:hAnsi="Arial"/>
          <w:b/>
          <w:bCs/>
          <w:iCs/>
          <w:sz w:val="16"/>
          <w:lang w:eastAsia="en-US"/>
        </w:rPr>
        <w:br/>
        <w:t>Russia24.pro</w:t>
      </w:r>
      <w:r w:rsidRPr="00397EEA">
        <w:rPr>
          <w:rFonts w:ascii="Arial" w:eastAsia="Calibri" w:hAnsi="Arial"/>
          <w:b/>
          <w:bCs/>
          <w:iCs/>
          <w:sz w:val="16"/>
          <w:lang w:eastAsia="en-US"/>
        </w:rPr>
        <w:br/>
      </w:r>
      <w:r w:rsidR="00397EEA">
        <w:rPr>
          <w:rFonts w:ascii="Arial" w:eastAsia="Calibri" w:hAnsi="Arial"/>
          <w:b/>
          <w:bCs/>
          <w:iCs/>
          <w:sz w:val="16"/>
          <w:lang w:eastAsia="en-US"/>
        </w:rPr>
        <w:t>«</w:t>
      </w:r>
      <w:r w:rsidRPr="00397EEA">
        <w:rPr>
          <w:rFonts w:ascii="Arial" w:eastAsia="Calibri" w:hAnsi="Arial"/>
          <w:b/>
          <w:bCs/>
          <w:iCs/>
          <w:sz w:val="16"/>
          <w:lang w:eastAsia="en-US"/>
        </w:rPr>
        <w:t>Почему я не пришла раньше, я бы сэкономила кучу денег</w:t>
      </w:r>
      <w:r w:rsidR="00397EEA">
        <w:rPr>
          <w:rFonts w:ascii="Arial" w:eastAsia="Calibri" w:hAnsi="Arial"/>
          <w:b/>
          <w:bCs/>
          <w:iCs/>
          <w:sz w:val="16"/>
          <w:lang w:eastAsia="en-US"/>
        </w:rPr>
        <w:t>»</w:t>
      </w:r>
      <w:r w:rsidRPr="00397EEA">
        <w:rPr>
          <w:rFonts w:ascii="Arial" w:eastAsia="Calibri" w:hAnsi="Arial"/>
          <w:b/>
          <w:bCs/>
          <w:iCs/>
          <w:sz w:val="16"/>
          <w:lang w:eastAsia="en-US"/>
        </w:rPr>
        <w:t>: в Москве завершилась неделя финансовой грамотности</w:t>
      </w:r>
      <w:bookmarkEnd w:id="75"/>
      <w:bookmarkEnd w:id="76"/>
    </w:p>
    <w:p w14:paraId="1C07CF06" w14:textId="77777777" w:rsidR="001A0979" w:rsidRPr="00397EEA" w:rsidRDefault="00997114" w:rsidP="001A0979">
      <w:pPr>
        <w:spacing w:before="60" w:after="0"/>
        <w:ind w:left="567"/>
        <w:jc w:val="left"/>
        <w:rPr>
          <w:rFonts w:ascii="Arial" w:eastAsia="Calibri" w:hAnsi="Arial"/>
          <w:bCs/>
          <w:iCs/>
          <w:sz w:val="16"/>
          <w:lang w:eastAsia="en-US"/>
        </w:rPr>
      </w:pPr>
      <w:hyperlink r:id="rId21" w:history="1">
        <w:r w:rsidR="001A0979" w:rsidRPr="00397EEA">
          <w:rPr>
            <w:rStyle w:val="a3"/>
            <w:rFonts w:ascii="Arial" w:eastAsia="Calibri" w:hAnsi="Arial"/>
            <w:bCs/>
            <w:iCs/>
            <w:sz w:val="16"/>
            <w:lang w:eastAsia="en-US"/>
          </w:rPr>
          <w:t>https://russia24.pro/moscow/386478811/</w:t>
        </w:r>
      </w:hyperlink>
    </w:p>
    <w:p w14:paraId="729DE7DA" w14:textId="77777777" w:rsidR="001A0979" w:rsidRPr="00397EEA" w:rsidRDefault="001A0979" w:rsidP="001A0979">
      <w:pPr>
        <w:spacing w:before="60" w:after="0"/>
        <w:ind w:left="567"/>
        <w:jc w:val="left"/>
        <w:rPr>
          <w:rFonts w:ascii="Arial" w:eastAsia="Calibri" w:hAnsi="Arial"/>
          <w:b/>
          <w:bCs/>
          <w:iCs/>
          <w:sz w:val="16"/>
          <w:lang w:eastAsia="en-US"/>
        </w:rPr>
      </w:pPr>
      <w:bookmarkStart w:id="80" w:name="d_06c9478d3c8046bbaeb71f751a4da4d8"/>
      <w:bookmarkStart w:id="81" w:name="_Toc175845529"/>
      <w:bookmarkStart w:id="82" w:name="_Toc175845619"/>
      <w:bookmarkEnd w:id="80"/>
      <w:r w:rsidRPr="00397EEA">
        <w:rPr>
          <w:rFonts w:ascii="Arial" w:eastAsia="Calibri" w:hAnsi="Arial"/>
          <w:b/>
          <w:bCs/>
          <w:iCs/>
          <w:sz w:val="16"/>
          <w:lang w:eastAsia="en-US"/>
        </w:rPr>
        <w:t>29.08.2024</w:t>
      </w:r>
      <w:r w:rsidRPr="00397EEA">
        <w:rPr>
          <w:rFonts w:ascii="Arial" w:eastAsia="Calibri" w:hAnsi="Arial"/>
          <w:b/>
          <w:bCs/>
          <w:iCs/>
          <w:sz w:val="16"/>
          <w:lang w:eastAsia="en-US"/>
        </w:rPr>
        <w:br/>
        <w:t>Ria.City</w:t>
      </w:r>
      <w:r w:rsidRPr="00397EEA">
        <w:rPr>
          <w:rFonts w:ascii="Arial" w:eastAsia="Calibri" w:hAnsi="Arial"/>
          <w:b/>
          <w:bCs/>
          <w:iCs/>
          <w:sz w:val="16"/>
          <w:lang w:eastAsia="en-US"/>
        </w:rPr>
        <w:br/>
      </w:r>
      <w:r w:rsidR="00397EEA">
        <w:rPr>
          <w:rFonts w:ascii="Arial" w:eastAsia="Calibri" w:hAnsi="Arial"/>
          <w:b/>
          <w:bCs/>
          <w:iCs/>
          <w:sz w:val="16"/>
          <w:lang w:eastAsia="en-US"/>
        </w:rPr>
        <w:t>«</w:t>
      </w:r>
      <w:r w:rsidRPr="00397EEA">
        <w:rPr>
          <w:rFonts w:ascii="Arial" w:eastAsia="Calibri" w:hAnsi="Arial"/>
          <w:b/>
          <w:bCs/>
          <w:iCs/>
          <w:sz w:val="16"/>
          <w:lang w:eastAsia="en-US"/>
        </w:rPr>
        <w:t>Почему я не пришла раньше, я бы сэкономила кучу денег</w:t>
      </w:r>
      <w:r w:rsidR="00397EEA">
        <w:rPr>
          <w:rFonts w:ascii="Arial" w:eastAsia="Calibri" w:hAnsi="Arial"/>
          <w:b/>
          <w:bCs/>
          <w:iCs/>
          <w:sz w:val="16"/>
          <w:lang w:eastAsia="en-US"/>
        </w:rPr>
        <w:t>»</w:t>
      </w:r>
      <w:r w:rsidRPr="00397EEA">
        <w:rPr>
          <w:rFonts w:ascii="Arial" w:eastAsia="Calibri" w:hAnsi="Arial"/>
          <w:b/>
          <w:bCs/>
          <w:iCs/>
          <w:sz w:val="16"/>
          <w:lang w:eastAsia="en-US"/>
        </w:rPr>
        <w:t>: в Москве завершилась неделя финансовой грамотности</w:t>
      </w:r>
      <w:bookmarkEnd w:id="81"/>
      <w:bookmarkEnd w:id="82"/>
    </w:p>
    <w:p w14:paraId="2ED48BC2" w14:textId="77777777" w:rsidR="001A0979" w:rsidRPr="00397EEA" w:rsidRDefault="00997114" w:rsidP="001A0979">
      <w:pPr>
        <w:spacing w:before="60" w:after="0"/>
        <w:ind w:left="567"/>
        <w:jc w:val="left"/>
        <w:rPr>
          <w:rFonts w:ascii="Arial" w:eastAsia="Calibri" w:hAnsi="Arial"/>
          <w:bCs/>
          <w:iCs/>
          <w:sz w:val="16"/>
          <w:lang w:eastAsia="en-US"/>
        </w:rPr>
      </w:pPr>
      <w:hyperlink r:id="rId22" w:history="1">
        <w:r w:rsidR="001A0979" w:rsidRPr="00397EEA">
          <w:rPr>
            <w:rStyle w:val="a3"/>
            <w:rFonts w:ascii="Arial" w:eastAsia="Calibri" w:hAnsi="Arial"/>
            <w:bCs/>
            <w:iCs/>
            <w:sz w:val="16"/>
            <w:lang w:eastAsia="en-US"/>
          </w:rPr>
          <w:t>https://ria.city/moscow/386478811/</w:t>
        </w:r>
      </w:hyperlink>
    </w:p>
    <w:p w14:paraId="2B026B2B" w14:textId="77777777" w:rsidR="001A0979" w:rsidRPr="00397EEA" w:rsidRDefault="001A0979" w:rsidP="001A0979">
      <w:pPr>
        <w:spacing w:before="60" w:after="0"/>
        <w:ind w:left="567"/>
        <w:jc w:val="left"/>
        <w:rPr>
          <w:rFonts w:ascii="Arial" w:eastAsia="Calibri" w:hAnsi="Arial"/>
          <w:b/>
          <w:bCs/>
          <w:iCs/>
          <w:sz w:val="16"/>
          <w:lang w:eastAsia="en-US"/>
        </w:rPr>
      </w:pPr>
      <w:bookmarkStart w:id="83" w:name="d_89ac4fea61d94b119a5282617af1597c"/>
      <w:bookmarkStart w:id="84" w:name="_Toc175845530"/>
      <w:bookmarkStart w:id="85" w:name="_Toc175845620"/>
      <w:bookmarkEnd w:id="83"/>
      <w:r w:rsidRPr="00397EEA">
        <w:rPr>
          <w:rFonts w:ascii="Arial" w:eastAsia="Calibri" w:hAnsi="Arial"/>
          <w:b/>
          <w:bCs/>
          <w:iCs/>
          <w:sz w:val="16"/>
          <w:lang w:eastAsia="en-US"/>
        </w:rPr>
        <w:t>29.08.2024</w:t>
      </w:r>
      <w:r w:rsidRPr="00397EEA">
        <w:rPr>
          <w:rFonts w:ascii="Arial" w:eastAsia="Calibri" w:hAnsi="Arial"/>
          <w:b/>
          <w:bCs/>
          <w:iCs/>
          <w:sz w:val="16"/>
          <w:lang w:eastAsia="en-US"/>
        </w:rPr>
        <w:br/>
        <w:t>Новости Москвы</w:t>
      </w:r>
      <w:r w:rsidRPr="00397EEA">
        <w:rPr>
          <w:rFonts w:ascii="Arial" w:eastAsia="Calibri" w:hAnsi="Arial"/>
          <w:b/>
          <w:bCs/>
          <w:iCs/>
          <w:sz w:val="16"/>
          <w:lang w:eastAsia="en-US"/>
        </w:rPr>
        <w:br/>
      </w:r>
      <w:r w:rsidR="00397EEA">
        <w:rPr>
          <w:rFonts w:ascii="Arial" w:eastAsia="Calibri" w:hAnsi="Arial"/>
          <w:b/>
          <w:bCs/>
          <w:iCs/>
          <w:sz w:val="16"/>
          <w:lang w:eastAsia="en-US"/>
        </w:rPr>
        <w:t>«</w:t>
      </w:r>
      <w:r w:rsidRPr="00397EEA">
        <w:rPr>
          <w:rFonts w:ascii="Arial" w:eastAsia="Calibri" w:hAnsi="Arial"/>
          <w:b/>
          <w:bCs/>
          <w:iCs/>
          <w:sz w:val="16"/>
          <w:lang w:eastAsia="en-US"/>
        </w:rPr>
        <w:t>Почему я не пришла раньше, я бы сэкономила кучу денег</w:t>
      </w:r>
      <w:r w:rsidR="00397EEA">
        <w:rPr>
          <w:rFonts w:ascii="Arial" w:eastAsia="Calibri" w:hAnsi="Arial"/>
          <w:b/>
          <w:bCs/>
          <w:iCs/>
          <w:sz w:val="16"/>
          <w:lang w:eastAsia="en-US"/>
        </w:rPr>
        <w:t>»</w:t>
      </w:r>
      <w:r w:rsidRPr="00397EEA">
        <w:rPr>
          <w:rFonts w:ascii="Arial" w:eastAsia="Calibri" w:hAnsi="Arial"/>
          <w:b/>
          <w:bCs/>
          <w:iCs/>
          <w:sz w:val="16"/>
          <w:lang w:eastAsia="en-US"/>
        </w:rPr>
        <w:t>: в Москве завершилась неделя финансовой грамотности</w:t>
      </w:r>
      <w:bookmarkEnd w:id="84"/>
      <w:bookmarkEnd w:id="85"/>
    </w:p>
    <w:p w14:paraId="16D6145C" w14:textId="77777777" w:rsidR="001A0979" w:rsidRPr="00397EEA" w:rsidRDefault="00997114" w:rsidP="001A0979">
      <w:pPr>
        <w:spacing w:before="60" w:after="0"/>
        <w:ind w:left="567"/>
        <w:jc w:val="left"/>
        <w:rPr>
          <w:rFonts w:ascii="Arial" w:eastAsia="Calibri" w:hAnsi="Arial"/>
          <w:bCs/>
          <w:iCs/>
          <w:sz w:val="16"/>
          <w:lang w:eastAsia="en-US"/>
        </w:rPr>
      </w:pPr>
      <w:hyperlink r:id="rId23" w:history="1">
        <w:r w:rsidR="001A0979" w:rsidRPr="00397EEA">
          <w:rPr>
            <w:rStyle w:val="a3"/>
            <w:rFonts w:ascii="Arial" w:eastAsia="Calibri" w:hAnsi="Arial"/>
            <w:bCs/>
            <w:iCs/>
            <w:sz w:val="16"/>
            <w:lang w:eastAsia="en-US"/>
          </w:rPr>
          <w:t>https://moscow.media/moscow/386478811/</w:t>
        </w:r>
      </w:hyperlink>
    </w:p>
    <w:p w14:paraId="2DD7C8B1" w14:textId="77777777" w:rsidR="005E7DB0" w:rsidRPr="00397EEA" w:rsidRDefault="005E7DB0" w:rsidP="005E7DB0">
      <w:pPr>
        <w:pStyle w:val="2"/>
      </w:pPr>
      <w:bookmarkStart w:id="86" w:name="_Toc175897225"/>
      <w:bookmarkStart w:id="87" w:name="_Hlk175897050"/>
      <w:r w:rsidRPr="00397EEA">
        <w:t>Эксперт-Урал, 29.08.2024, Свердловчане отложили через программу долгосрочных сбережений полмиллиарда</w:t>
      </w:r>
      <w:bookmarkEnd w:id="86"/>
    </w:p>
    <w:p w14:paraId="4A3AFBC7" w14:textId="77777777" w:rsidR="005E7DB0" w:rsidRPr="00397EEA" w:rsidRDefault="005E7DB0" w:rsidP="00CB047E">
      <w:pPr>
        <w:pStyle w:val="3"/>
      </w:pPr>
      <w:bookmarkStart w:id="88" w:name="_Toc175897226"/>
      <w:r w:rsidRPr="00397EEA">
        <w:t xml:space="preserve">В Свердловской области подвели первые итоги реализации программы долгосрочных сбережений (ДПС). Подробности — в материале </w:t>
      </w:r>
      <w:r w:rsidR="00397EEA">
        <w:t>«</w:t>
      </w:r>
      <w:r w:rsidRPr="00397EEA">
        <w:t>Эксперт-Урал</w:t>
      </w:r>
      <w:r w:rsidR="00397EEA">
        <w:t>»</w:t>
      </w:r>
      <w:r w:rsidRPr="00397EEA">
        <w:t>.</w:t>
      </w:r>
      <w:bookmarkEnd w:id="88"/>
    </w:p>
    <w:p w14:paraId="53D9D416" w14:textId="77777777" w:rsidR="005E7DB0" w:rsidRPr="00397EEA" w:rsidRDefault="005E7DB0" w:rsidP="005E7DB0">
      <w:r w:rsidRPr="00397EEA">
        <w:t xml:space="preserve">Программа долгосрочных сбережений — это новый сберегательный продукт. Стартовала она с 1 январе 2024 года. </w:t>
      </w:r>
    </w:p>
    <w:p w14:paraId="66AA452E" w14:textId="77777777" w:rsidR="005E7DB0" w:rsidRPr="00397EEA" w:rsidRDefault="005E7DB0" w:rsidP="005E7DB0">
      <w:r w:rsidRPr="00397EEA">
        <w:t>Программа предназначена для формирования инвестиций с длинным сроком. Для этого гражданам предлагают заключить договор с негосударственным пенсионным фондом (НПФ), который является аккредитованным участником программы. Есть возможность перевести на счет и свои пенсионные накопления.</w:t>
      </w:r>
    </w:p>
    <w:p w14:paraId="2D2CD2D9" w14:textId="77777777" w:rsidR="005E7DB0" w:rsidRPr="00397EEA" w:rsidRDefault="005E7DB0" w:rsidP="005E7DB0">
      <w:r w:rsidRPr="00397EEA">
        <w:t>Граждане, заключавшие договор с НПФ в период 2024-2026 годов, могут рассчитывать на государственное софинансирование взносов в размере до 36 тыс. рублей в год. Кроме того, ее участники имеют право на налоговый вычет на сумму до 52 тыс. рублей в год при уплате взносов до 400 тыс. рублей.</w:t>
      </w:r>
    </w:p>
    <w:p w14:paraId="2BA1A035" w14:textId="77777777" w:rsidR="005E7DB0" w:rsidRPr="00397EEA" w:rsidRDefault="005E7DB0" w:rsidP="005E7DB0">
      <w:r w:rsidRPr="00397EEA">
        <w:t xml:space="preserve">Всего в программе участвуют 28 НПФ из 35 действующих в России. Есть среди них и один фонд из Свердловской области — </w:t>
      </w:r>
      <w:r w:rsidR="00397EEA">
        <w:t>«</w:t>
      </w:r>
      <w:r w:rsidRPr="00397EEA">
        <w:t>Перспектива</w:t>
      </w:r>
      <w:r w:rsidR="00397EEA">
        <w:t>»</w:t>
      </w:r>
      <w:r w:rsidRPr="00397EEA">
        <w:t>.</w:t>
      </w:r>
    </w:p>
    <w:p w14:paraId="728BCEC4" w14:textId="77777777" w:rsidR="005E7DB0" w:rsidRPr="00397EEA" w:rsidRDefault="005E7DB0" w:rsidP="005E7DB0">
      <w:r w:rsidRPr="00397EEA">
        <w:t>Как рассказал на пресс-конференции замначальника Уральского главного управления Банка России Сергей Коровин, жители Свердловской области по данным на конец июля текущего года заключили более 28 тыс. таких договоров. Общий объем внесенных средств составил 456 млн. рублей.</w:t>
      </w:r>
    </w:p>
    <w:p w14:paraId="78883A46" w14:textId="77777777" w:rsidR="005E7DB0" w:rsidRPr="00397EEA" w:rsidRDefault="005E7DB0" w:rsidP="005E7DB0">
      <w:r w:rsidRPr="00397EEA">
        <w:t>Свердловская область занимает пятое место по этим показателям после Москвы, Московской области, Санкт-Петербурга и Татарстана.</w:t>
      </w:r>
    </w:p>
    <w:p w14:paraId="1D30800D" w14:textId="77777777" w:rsidR="005E7DB0" w:rsidRPr="00397EEA" w:rsidRDefault="00397EEA" w:rsidP="005E7DB0">
      <w:r>
        <w:t>«</w:t>
      </w:r>
      <w:r w:rsidR="005E7DB0" w:rsidRPr="00397EEA">
        <w:t>По российской статистике программой долгосрочных сбережений в первую очередь интересуются работники в сфере образования (36%), медицинские сотрудники, госслужащие (по 11%), представители финансовых служб (8%) и пенсионеры (3,5%)</w:t>
      </w:r>
      <w:r>
        <w:t>»</w:t>
      </w:r>
      <w:r w:rsidR="005E7DB0" w:rsidRPr="00397EEA">
        <w:t xml:space="preserve">, — представляет портрет долгосрочного инвестора вице-президент саморегулируемой организации </w:t>
      </w:r>
      <w:r>
        <w:t>«</w:t>
      </w:r>
      <w:r w:rsidR="005E7DB0" w:rsidRPr="00397EEA">
        <w:t>Национальная ассоциация негосударственных пенсионных фондов</w:t>
      </w:r>
      <w:r>
        <w:t>»</w:t>
      </w:r>
      <w:r w:rsidR="005E7DB0" w:rsidRPr="00397EEA">
        <w:t xml:space="preserve"> Алексей Денисов.</w:t>
      </w:r>
    </w:p>
    <w:p w14:paraId="68AD267F" w14:textId="77777777" w:rsidR="005E7DB0" w:rsidRPr="00397EEA" w:rsidRDefault="005E7DB0" w:rsidP="005E7DB0">
      <w:r w:rsidRPr="00397EEA">
        <w:t>В целом по стране заключено более миллиона договоров, а объем привлеченных в программу средств приблизился к 50 млрд рублей.</w:t>
      </w:r>
    </w:p>
    <w:p w14:paraId="55AAC3AE" w14:textId="77777777" w:rsidR="005E7DB0" w:rsidRPr="00397EEA" w:rsidRDefault="005E7DB0" w:rsidP="005E7DB0">
      <w:r w:rsidRPr="00397EEA">
        <w:lastRenderedPageBreak/>
        <w:t>По словам заместителя министра финансов РФ Ивана Чебескова, ведомство работает над тем, чтобы сделать участие в программе привлекательным не только для граждан, но и работодателей.</w:t>
      </w:r>
    </w:p>
    <w:p w14:paraId="1321D97C" w14:textId="77777777" w:rsidR="005E7DB0" w:rsidRPr="00397EEA" w:rsidRDefault="005E7DB0" w:rsidP="005E7DB0">
      <w:r w:rsidRPr="00397EEA">
        <w:t xml:space="preserve">Таким образом государство намерено приучать людей копить </w:t>
      </w:r>
      <w:r w:rsidR="00397EEA">
        <w:t>«</w:t>
      </w:r>
      <w:r w:rsidRPr="00397EEA">
        <w:t>в долгую</w:t>
      </w:r>
      <w:r w:rsidR="00397EEA">
        <w:t>»</w:t>
      </w:r>
      <w:r w:rsidRPr="00397EEA">
        <w:t>, а российский инвестор такого опыта не имеет. По словам директора департамента инвестиционных финансовых посредников Банка России Ольги Шишлянниковой, этим инструментом профильные ведомства стремятся изменить тренд.</w:t>
      </w:r>
    </w:p>
    <w:p w14:paraId="14A11369" w14:textId="77777777" w:rsidR="005E7DB0" w:rsidRPr="00397EEA" w:rsidRDefault="00397EEA" w:rsidP="005E7DB0">
      <w:r>
        <w:t>«</w:t>
      </w:r>
      <w:r w:rsidR="005E7DB0" w:rsidRPr="00397EEA">
        <w:t>Да, пока у россиян нет сложившей привычки откладывать на длительный срок, но граждане, которые заботятся о своем будущем, полагаем, будут участвовать в программе</w:t>
      </w:r>
      <w:r>
        <w:t>»</w:t>
      </w:r>
      <w:r w:rsidR="005E7DB0" w:rsidRPr="00397EEA">
        <w:t>, – выразила уверенность Ольга Шишлянникова.</w:t>
      </w:r>
    </w:p>
    <w:p w14:paraId="027260D1" w14:textId="77777777" w:rsidR="005E7DB0" w:rsidRPr="00397EEA" w:rsidRDefault="005E7DB0" w:rsidP="005E7DB0">
      <w:r w:rsidRPr="00397EEA">
        <w:t xml:space="preserve">По ее словам, новый инструмент поможет сформировать у россиян правильное отношение к долгосрочным инвестициям. Он даст возможность копить деньги на определённую цель даже людям с небольшими доходами. Регулятор обращает внимание и на минимальный уровень рисков. </w:t>
      </w:r>
    </w:p>
    <w:p w14:paraId="78F8D1D8" w14:textId="77777777" w:rsidR="005E7DB0" w:rsidRPr="00397EEA" w:rsidRDefault="00397EEA" w:rsidP="005E7DB0">
      <w:r>
        <w:t>«</w:t>
      </w:r>
      <w:r w:rsidR="005E7DB0" w:rsidRPr="00397EEA">
        <w:t>По условиям участия операторы программы (НПФ) должны обеспечить безубыточность вложений для своих клиентов. Банк России со своей стороны контролирует финансовую устойчивость фондов и следит за их инвестиционной деятельностью. Даже в случае банкротства фонда государство возместит 2,8 млн рублей (эта сумма застрахована в АСВ), выплатит переведенные пенсионные накопления и полученное софинансирование</w:t>
      </w:r>
      <w:r>
        <w:t>»</w:t>
      </w:r>
      <w:r w:rsidR="005E7DB0" w:rsidRPr="00397EEA">
        <w:t>, – акцентировала Шишлянникова.</w:t>
      </w:r>
    </w:p>
    <w:p w14:paraId="7C9733D8" w14:textId="77777777" w:rsidR="005E7DB0" w:rsidRPr="00397EEA" w:rsidRDefault="00997114" w:rsidP="005E7DB0">
      <w:hyperlink r:id="rId24" w:history="1">
        <w:r w:rsidR="005E7DB0" w:rsidRPr="00397EEA">
          <w:rPr>
            <w:rStyle w:val="a3"/>
          </w:rPr>
          <w:t>https://expert-ural.com/articles/sverdlovchane-otlozhili-cherez-programmu-dolgosrochnih-pensionnih-sberezheniy-polmilliarda.html</w:t>
        </w:r>
      </w:hyperlink>
      <w:r w:rsidR="005E7DB0" w:rsidRPr="00397EEA">
        <w:t xml:space="preserve"> </w:t>
      </w:r>
    </w:p>
    <w:p w14:paraId="4FACD749" w14:textId="77777777" w:rsidR="00C1661F" w:rsidRPr="00397EEA" w:rsidRDefault="00C1661F" w:rsidP="00C1661F">
      <w:pPr>
        <w:pStyle w:val="2"/>
      </w:pPr>
      <w:bookmarkStart w:id="89" w:name="_Toc175897227"/>
      <w:bookmarkEnd w:id="87"/>
      <w:r w:rsidRPr="00397EEA">
        <w:t>АБН24, 29.08.2024, Сумма договоров по программе долгосрочных договоров на Кубани превысила 430 млн рублей</w:t>
      </w:r>
      <w:bookmarkEnd w:id="89"/>
    </w:p>
    <w:p w14:paraId="34CBE210" w14:textId="77777777" w:rsidR="00C1661F" w:rsidRPr="00397EEA" w:rsidRDefault="00C1661F" w:rsidP="00CB047E">
      <w:pPr>
        <w:pStyle w:val="3"/>
      </w:pPr>
      <w:bookmarkStart w:id="90" w:name="_Toc175897228"/>
      <w:r w:rsidRPr="00397EEA">
        <w:t>Она начала работу с 1 января 2024 года. В нее вступили более 26 тыс. жителей края. Программа долгосрочных сбережений на Кубани показывает хорошие результаты. Как утверждают специалисты, она помогает накопить на крупную покупку с помощью государства.</w:t>
      </w:r>
      <w:bookmarkEnd w:id="90"/>
    </w:p>
    <w:p w14:paraId="0CAC51CA" w14:textId="77777777" w:rsidR="00C1661F" w:rsidRPr="00397EEA" w:rsidRDefault="00C1661F" w:rsidP="00C1661F">
      <w:r w:rsidRPr="00397EEA">
        <w:t>Положить деньги на счет могут все совершеннолетние жители края. Доступ к ним появится через 15 лет. Прибавка от государства составляет максимально 36 тыс. руб. в год. Также вкладчики имеют возможность получить налоговый вычет.</w:t>
      </w:r>
    </w:p>
    <w:p w14:paraId="49CA5AEB" w14:textId="77777777" w:rsidR="00C1661F" w:rsidRPr="00397EEA" w:rsidRDefault="00C1661F" w:rsidP="00C1661F">
      <w:r w:rsidRPr="00397EEA">
        <w:t>Средства до 2,8 млн руб. застрахованы. Чтобы вступить в программу, необходимо заключить договор с НПФ.</w:t>
      </w:r>
    </w:p>
    <w:p w14:paraId="730ECD79" w14:textId="77777777" w:rsidR="00C1661F" w:rsidRPr="00397EEA" w:rsidRDefault="00C1661F" w:rsidP="00C1661F">
      <w:r w:rsidRPr="00397EEA">
        <w:t xml:space="preserve">Ранее </w:t>
      </w:r>
      <w:r w:rsidR="00397EEA">
        <w:t>«</w:t>
      </w:r>
      <w:r w:rsidRPr="00397EEA">
        <w:t>АБН24</w:t>
      </w:r>
      <w:r w:rsidR="00397EEA">
        <w:t>»</w:t>
      </w:r>
      <w:r w:rsidRPr="00397EEA">
        <w:t xml:space="preserve"> сообщало, что за год число эскроу-счетов на Кубани выросло почти вдвое. По данным на 1 июля в Краснодарском крае открыли более 78 тысяч счетов эскроу, на них лежат средства общей суммой 405,3 миллиарда рублей.</w:t>
      </w:r>
    </w:p>
    <w:p w14:paraId="19ED8E93" w14:textId="77777777" w:rsidR="00C93890" w:rsidRPr="00397EEA" w:rsidRDefault="00997114" w:rsidP="00C1661F">
      <w:hyperlink r:id="rId25" w:history="1">
        <w:r w:rsidR="00C1661F" w:rsidRPr="00397EEA">
          <w:rPr>
            <w:rStyle w:val="a3"/>
          </w:rPr>
          <w:t>https://abnews.ru/ug/news/krasnodar/2024/8/29/summa-dogovorov-po-programme-dolgosrochnyh-dogovorov-na-kubani-prevysila-430-mln-rublej</w:t>
        </w:r>
      </w:hyperlink>
    </w:p>
    <w:p w14:paraId="49835B5E" w14:textId="77777777" w:rsidR="00C1661F" w:rsidRPr="00397EEA" w:rsidRDefault="00C1661F" w:rsidP="00C1661F"/>
    <w:p w14:paraId="4F55074E" w14:textId="77777777" w:rsidR="00111D7C" w:rsidRPr="00397EEA" w:rsidRDefault="00111D7C" w:rsidP="00111D7C">
      <w:pPr>
        <w:pStyle w:val="10"/>
      </w:pPr>
      <w:bookmarkStart w:id="91" w:name="_Toc165991074"/>
      <w:bookmarkStart w:id="92" w:name="_Toc175897229"/>
      <w:r w:rsidRPr="00397EEA">
        <w:lastRenderedPageBreak/>
        <w:t>Новости развития системы обязательного пенсионного страхования и страховой пенсии</w:t>
      </w:r>
      <w:bookmarkEnd w:id="51"/>
      <w:bookmarkEnd w:id="52"/>
      <w:bookmarkEnd w:id="53"/>
      <w:bookmarkEnd w:id="91"/>
      <w:bookmarkEnd w:id="92"/>
    </w:p>
    <w:p w14:paraId="0C06133B" w14:textId="77777777" w:rsidR="00046CCA" w:rsidRPr="00397EEA" w:rsidRDefault="00046CCA" w:rsidP="00046CCA">
      <w:pPr>
        <w:pStyle w:val="2"/>
      </w:pPr>
      <w:bookmarkStart w:id="93" w:name="a9"/>
      <w:bookmarkStart w:id="94" w:name="_Toc175897230"/>
      <w:bookmarkEnd w:id="93"/>
      <w:r w:rsidRPr="00397EEA">
        <w:t>РБК, 30.08.2024, Екатерина ВИНОГРАДОВА, Десятка без срока давности</w:t>
      </w:r>
      <w:bookmarkEnd w:id="94"/>
    </w:p>
    <w:p w14:paraId="601C7461" w14:textId="77777777" w:rsidR="00046CCA" w:rsidRPr="00397EEA" w:rsidRDefault="00046CCA" w:rsidP="00CB047E">
      <w:pPr>
        <w:pStyle w:val="3"/>
      </w:pPr>
      <w:bookmarkStart w:id="95" w:name="_Toc175897231"/>
      <w:r w:rsidRPr="00397EEA">
        <w:t>Власти могут снять ограничение по количеству пенсионных баллов, начисляемых работающим пенсионерам, узнал РБК. Им позволят копить баллы наравне с населением в трудоспособном возрасте - до 10 в год.</w:t>
      </w:r>
      <w:bookmarkEnd w:id="95"/>
    </w:p>
    <w:p w14:paraId="3EA9A50D" w14:textId="77777777" w:rsidR="00046CCA" w:rsidRPr="00397EEA" w:rsidRDefault="00046CCA" w:rsidP="00046CCA">
      <w:r w:rsidRPr="00397EEA">
        <w:t xml:space="preserve">Власти запланировали проведение коррекции правил начисления индивидуальных пенсионных коэффициентов (ИПК) в пользу работающих пенсионеров. Это следует из проекта паспорта национального проекта </w:t>
      </w:r>
      <w:r w:rsidR="00397EEA">
        <w:t>«</w:t>
      </w:r>
      <w:r w:rsidRPr="00397EEA">
        <w:t>Кадры</w:t>
      </w:r>
      <w:r w:rsidR="00397EEA">
        <w:t>»</w:t>
      </w:r>
      <w:r w:rsidRPr="00397EEA">
        <w:t xml:space="preserve">, который был вынесен на заседание рабочей группы профильной комиссии Госсовета 28 августа и охватывает период до 2030 года (копия есть у РБК, подлинность подтвердил источник, знакомый с содержанием). Одним из мероприятий нацпроекта значится </w:t>
      </w:r>
      <w:r w:rsidR="00397EEA">
        <w:t>«</w:t>
      </w:r>
      <w:r w:rsidRPr="00397EEA">
        <w:t>повышение объема заработанных ИПК с 3 до 10</w:t>
      </w:r>
      <w:r w:rsidR="00397EEA">
        <w:t>»</w:t>
      </w:r>
      <w:r w:rsidRPr="00397EEA">
        <w:t>. Сейчас работающим пенсионерам не может начисляться более трех ИПК в год вне зависимости от суммы уплаченных с их зарплат страховых взносов.</w:t>
      </w:r>
    </w:p>
    <w:p w14:paraId="0D2DA836" w14:textId="77777777" w:rsidR="00046CCA" w:rsidRPr="00397EEA" w:rsidRDefault="00046CCA" w:rsidP="00046CCA">
      <w:r w:rsidRPr="00397EEA">
        <w:t xml:space="preserve">Ранее подходы к формированию нацпроекта </w:t>
      </w:r>
      <w:r w:rsidR="00397EEA">
        <w:t>«</w:t>
      </w:r>
      <w:r w:rsidRPr="00397EEA">
        <w:t>Кадры</w:t>
      </w:r>
      <w:r w:rsidR="00397EEA">
        <w:t>»</w:t>
      </w:r>
      <w:r w:rsidRPr="00397EEA">
        <w:t xml:space="preserve"> одобрил глава правительства Михаил Мишустин. В Минтруде заявили РБК, что наполнение нацпроекта дорабатывается, его структура еще не утверждена (как и паспорт), не прокомментировав конкретно предложение по ИПК. РБК направил запрос в аппарат вице- премьера Татьяны Голиковой, курирующей этот нацпроект.</w:t>
      </w:r>
    </w:p>
    <w:p w14:paraId="2B9AD3D8" w14:textId="77777777" w:rsidR="00046CCA" w:rsidRPr="00397EEA" w:rsidRDefault="00046CCA" w:rsidP="00046CCA">
      <w:r w:rsidRPr="00397EEA">
        <w:t>Какие еще меры могут войти в национальный проект по борьбе с дефицитом на рынке труда и сколько они будут стоить - в материале РБК.</w:t>
      </w:r>
    </w:p>
    <w:p w14:paraId="6DBDD018" w14:textId="77777777" w:rsidR="00046CCA" w:rsidRPr="00397EEA" w:rsidRDefault="00046CCA" w:rsidP="00046CCA">
      <w:r w:rsidRPr="00397EEA">
        <w:t>Самое дорогостоящее мероприятие</w:t>
      </w:r>
    </w:p>
    <w:p w14:paraId="25E525A0" w14:textId="77777777" w:rsidR="00046CCA" w:rsidRPr="00397EEA" w:rsidRDefault="00046CCA" w:rsidP="00046CCA">
      <w:r w:rsidRPr="00397EEA">
        <w:t>Совокупное финансирование нацпроекта в 2025-2030 годах составит почти 1 трлн руб., и более 70% этих средств придется лишь на одно его мероприятие. В проекте паспорта оно сформулировано следующим образом:</w:t>
      </w:r>
      <w:r w:rsidR="00397EEA">
        <w:t>»</w:t>
      </w:r>
      <w:r w:rsidRPr="00397EEA">
        <w:t>Внесение изменений в федеральное законодательство по повышению объема заработанных коэффициентов с 3 до 10 ИПК</w:t>
      </w:r>
      <w:r w:rsidR="00397EEA">
        <w:t>»</w:t>
      </w:r>
      <w:r w:rsidRPr="00397EEA">
        <w:t>. Предполагается, что на него будет потрачено почти 722 млрд руб. до 2030 года из внебюджетных источников (в данном случае речь может идти о Социальном фонде, который является государственным внебюджетным фондом), в том числе 114,4 млрд в 2026 году, 128 млрд в 2027-м, 143 млрд в 2028-м, 160 млрд в 2029-м и 177 млрд в 2030-м.</w:t>
      </w:r>
    </w:p>
    <w:p w14:paraId="62E13D2B" w14:textId="77777777" w:rsidR="00046CCA" w:rsidRPr="00397EEA" w:rsidRDefault="00046CCA" w:rsidP="00046CCA">
      <w:r w:rsidRPr="00397EEA">
        <w:t>При этом в документе уточняется, что оценка расходов внебюджетных источников носит индикативный характер и распределение этих ассигнований может быть скорректировано в ходе их исполнения.</w:t>
      </w:r>
    </w:p>
    <w:p w14:paraId="75F496D9" w14:textId="77777777" w:rsidR="00046CCA" w:rsidRPr="00397EEA" w:rsidRDefault="00046CCA" w:rsidP="00046CCA">
      <w:r w:rsidRPr="00397EEA">
        <w:t xml:space="preserve">В проекте паспорта нацпроекта прямо не сказано, каким конкретно категориям граждан предполагается увеличить предельный объем начисляемых пенсионных коэффициентов. Однако на сегодняшний день лимит на уровне трех ИПК установлен для работающих пенсионеров - вне зависимости от объема уплаченных работодателем страховых взносов им начисляется не более трех ИПК в год, в то время как остальные работники, не находящиеся на пенсии, могут заработать до 10 ИПК. В нацпроекте речь </w:t>
      </w:r>
      <w:r w:rsidRPr="00397EEA">
        <w:lastRenderedPageBreak/>
        <w:t>идет именно о работающих пенсионерах, подтвердил собеседник РБК, знакомый с ходом подготовки документа.</w:t>
      </w:r>
    </w:p>
    <w:p w14:paraId="434C092E" w14:textId="77777777" w:rsidR="00046CCA" w:rsidRPr="00397EEA" w:rsidRDefault="00046CCA" w:rsidP="00046CCA">
      <w:r w:rsidRPr="00397EEA">
        <w:t xml:space="preserve">Наличие искусственного ограничения для пенсионеров по количеству ИПК не раз вызывало критику: в частности, на него обращал внимание депутат от ЛДПР Ярослав Нилов. </w:t>
      </w:r>
      <w:r w:rsidR="00397EEA">
        <w:t>«</w:t>
      </w:r>
      <w:r w:rsidRPr="00397EEA">
        <w:t>Пенсионерам могут присвоить за год не больше трех баллов, а всем остальным лицам трудоспособного возраста могут прибавить до десяти баллов в зависимости от суммы перечисленных страховых взносов. При этом работодатели перечисляют за всех одинаковые суммы. Это несправедливо, это нарушение страховых принципов</w:t>
      </w:r>
      <w:r w:rsidR="00397EEA">
        <w:t>»</w:t>
      </w:r>
      <w:r w:rsidRPr="00397EEA">
        <w:t>, - указывал он.</w:t>
      </w:r>
    </w:p>
    <w:p w14:paraId="5708F769" w14:textId="77777777" w:rsidR="00046CCA" w:rsidRPr="00397EEA" w:rsidRDefault="00046CCA" w:rsidP="00046CCA">
      <w:r w:rsidRPr="00397EEA">
        <w:t>Выгода для трех миллионов пенсионеров</w:t>
      </w:r>
    </w:p>
    <w:p w14:paraId="0E085ED9" w14:textId="77777777" w:rsidR="00046CCA" w:rsidRPr="00397EEA" w:rsidRDefault="00046CCA" w:rsidP="00046CCA">
      <w:r w:rsidRPr="00397EEA">
        <w:t>У правительства есть понимание, что количество рабочей силы в ближайшие годы будет сокращаться под влиянием демографических процессов, отметил профессор Финансового университета при правительстве Александр Сафонов. Одним из вариантов решения этой проблемы является привлечение лиц пенсионного возраста на рынок труда. Ранее было принято решение о возобновлении индексации пенсий работающих пенсионеров, и увеличение числа доступных им пенсионных коэффициентов является органичным продолжением этой политики, дополнительным стимулом для пожилых не покидать рынок труда, полагает эксперт. При индексации страховая пенсия увеличивается на показатель инфляции предыдущего года.</w:t>
      </w:r>
    </w:p>
    <w:p w14:paraId="722B6D4A" w14:textId="77777777" w:rsidR="00046CCA" w:rsidRPr="00397EEA" w:rsidRDefault="00046CCA" w:rsidP="00046CCA">
      <w:r w:rsidRPr="00397EEA">
        <w:t xml:space="preserve">Предложенная в рамках нацпроекта мера уравняет работающих пенсионеров с другими категориями официально занятых, говорит старший научный сотрудник Института социального анализа и прогнозирования РАНХиГС Виктор Ляшок. </w:t>
      </w:r>
      <w:r w:rsidR="00397EEA">
        <w:t>«</w:t>
      </w:r>
      <w:r w:rsidRPr="00397EEA">
        <w:t>Расширение верхней границы [по ИПК] приведет к увеличению размеров перерасчета пенсий работающих пенсионеров, в результате чего разрыв в размерах пенсий между работающими и неработающими пенсионерами будет сокращаться более быстрыми темпами</w:t>
      </w:r>
      <w:r w:rsidR="00397EEA">
        <w:t>»</w:t>
      </w:r>
      <w:r w:rsidRPr="00397EEA">
        <w:t>, - полагает он. Средний размер пенсии работающего пенсионера по состоянию на 1 июля 2024 года находился на уровне 17,8 тыс. руб., неработающего -21,7 тыс. руб., следует из данных Соцфонда.</w:t>
      </w:r>
    </w:p>
    <w:p w14:paraId="070CB482" w14:textId="77777777" w:rsidR="00046CCA" w:rsidRPr="00397EEA" w:rsidRDefault="00046CCA" w:rsidP="00046CCA">
      <w:r w:rsidRPr="00397EEA">
        <w:t xml:space="preserve">Точно оценить, на какое количество граждан предлагаемая мера окажет влияние, на основе открытых данных невозможно, хотя у Социального фонда такие данные есть, указывает Ляшок. </w:t>
      </w:r>
      <w:r w:rsidR="00397EEA">
        <w:t>«</w:t>
      </w:r>
      <w:r w:rsidRPr="00397EEA">
        <w:t>По очень грубым оценкам, я бы сказал, что это примерно около трети работающих пенсионеров, то есть около 2,5-3 млн человек</w:t>
      </w:r>
      <w:r w:rsidR="00397EEA">
        <w:t>»</w:t>
      </w:r>
      <w:r w:rsidRPr="00397EEA">
        <w:t>, - сказал он.</w:t>
      </w:r>
    </w:p>
    <w:p w14:paraId="0D75A630" w14:textId="77777777" w:rsidR="00046CCA" w:rsidRPr="00397EEA" w:rsidRDefault="00046CCA" w:rsidP="00046CCA">
      <w:r w:rsidRPr="00397EEA">
        <w:t>По определению мера выгодна тем работающим пенсионерам, у кого зарплата в 2024 года превышает 55,6 тыс. руб. По данным Росстата, средняя начисленная зарплата россиян в возрасте от 65 лет в октябре 2023 года составляла около 57 тыс. руб.</w:t>
      </w:r>
    </w:p>
    <w:p w14:paraId="7575336F" w14:textId="77777777" w:rsidR="00046CCA" w:rsidRPr="00397EEA" w:rsidRDefault="00046CCA" w:rsidP="00046CCA">
      <w:r w:rsidRPr="00397EEA">
        <w:t>Конфигурация нацпроекта</w:t>
      </w:r>
    </w:p>
    <w:p w14:paraId="2C432BC7" w14:textId="77777777" w:rsidR="00046CCA" w:rsidRPr="00397EEA" w:rsidRDefault="00046CCA" w:rsidP="00046CCA">
      <w:r w:rsidRPr="00397EEA">
        <w:t xml:space="preserve">Как анонсировала ранее Голикова, национальный проект </w:t>
      </w:r>
      <w:r w:rsidR="00397EEA">
        <w:t>«</w:t>
      </w:r>
      <w:r w:rsidRPr="00397EEA">
        <w:t>Кадры</w:t>
      </w:r>
      <w:r w:rsidR="00397EEA">
        <w:t>»</w:t>
      </w:r>
      <w:r w:rsidRPr="00397EEA">
        <w:t xml:space="preserve"> будет состоять из четырех федеральных проектов, а его основной целью заявлено </w:t>
      </w:r>
      <w:r w:rsidR="00397EEA">
        <w:t>«</w:t>
      </w:r>
      <w:r w:rsidRPr="00397EEA">
        <w:t>удовлетворение потребности экономики в кадрах на основе дополнительного вовлечения в занятость</w:t>
      </w:r>
      <w:r w:rsidR="00397EEA">
        <w:t>»</w:t>
      </w:r>
      <w:r w:rsidRPr="00397EEA">
        <w:t>. Предполагается, что к 2030 году число дополнительно привлеченных на рынок труда работников составит 2,45 млн человек.</w:t>
      </w:r>
    </w:p>
    <w:p w14:paraId="27F32DE9" w14:textId="77777777" w:rsidR="00046CCA" w:rsidRPr="00397EEA" w:rsidRDefault="00046CCA" w:rsidP="00046CCA">
      <w:r w:rsidRPr="00397EEA">
        <w:t xml:space="preserve">Первый федеральный проект из четырех - это </w:t>
      </w:r>
      <w:r w:rsidR="00397EEA">
        <w:t>«</w:t>
      </w:r>
      <w:r w:rsidRPr="00397EEA">
        <w:t>Управление рынком труда</w:t>
      </w:r>
      <w:r w:rsidR="00397EEA">
        <w:t>»</w:t>
      </w:r>
      <w:r w:rsidRPr="00397EEA">
        <w:t xml:space="preserve">. Основная его цель - создание модели управления кадровым обеспечением экономики. В первую </w:t>
      </w:r>
      <w:r w:rsidRPr="00397EEA">
        <w:lastRenderedPageBreak/>
        <w:t>очередь для этого планируется запустить ежегодно обновляемый прогноз потребности экономики в кадрах на пятилетний период (о его проекте РБК подробно писал ранее).</w:t>
      </w:r>
    </w:p>
    <w:p w14:paraId="37351B76" w14:textId="77777777" w:rsidR="00046CCA" w:rsidRPr="00397EEA" w:rsidRDefault="00046CCA" w:rsidP="00046CCA">
      <w:r w:rsidRPr="00397EEA">
        <w:t xml:space="preserve">В основу прогноза ляжет независимое исследование среднесрочных и долгосрочных потребностей ключевых работодателей, оказывающих наибольшее влияние на рынок труда. Оно установит не только кадровые потребности, но и факторы, влияющие на их формирование, прогнозы работодателей относительно наличия необходимых кадров на рынке труда, их требования к образовательным организациям и другие вопросы, учет которых необходим для развития системы кадрового обеспечения экономики, указано в проекте паспорта. Отдельным показателем федпроекта будет </w:t>
      </w:r>
      <w:r w:rsidR="00397EEA">
        <w:t>«</w:t>
      </w:r>
      <w:r w:rsidRPr="00397EEA">
        <w:t>снижение дефицита кадров</w:t>
      </w:r>
      <w:r w:rsidR="00397EEA">
        <w:t>»</w:t>
      </w:r>
      <w:r w:rsidRPr="00397EEA">
        <w:t>, однако его плановые значения еще прорабатываются, указано там.</w:t>
      </w:r>
    </w:p>
    <w:p w14:paraId="0B6B5337" w14:textId="77777777" w:rsidR="00046CCA" w:rsidRPr="00397EEA" w:rsidRDefault="00046CCA" w:rsidP="00046CCA">
      <w:r w:rsidRPr="00397EEA">
        <w:t xml:space="preserve">Также в рамках федпроекта по управлению рынком труда планируется создание системы </w:t>
      </w:r>
      <w:r w:rsidR="00397EEA">
        <w:t>«</w:t>
      </w:r>
      <w:r w:rsidRPr="00397EEA">
        <w:t>проактивного контроля</w:t>
      </w:r>
      <w:r w:rsidR="00397EEA">
        <w:t>»</w:t>
      </w:r>
      <w:r w:rsidRPr="00397EEA">
        <w:t xml:space="preserve"> нарушений трудового законодательства, реализация комплекса мер по повышению </w:t>
      </w:r>
      <w:r w:rsidR="00397EEA">
        <w:t>«</w:t>
      </w:r>
      <w:r w:rsidRPr="00397EEA">
        <w:t>гибкости</w:t>
      </w:r>
      <w:r w:rsidR="00397EEA">
        <w:t>»</w:t>
      </w:r>
      <w:r w:rsidRPr="00397EEA">
        <w:t xml:space="preserve"> рынка труда и регулированию платформенной занятости, актуализация региональных программ по снижению нелегальной занятости. Среди других нормативных мер - изменения в регулировании работы несовершеннолетних выпускников и развитие государственной гражданской службы. Как ранее писал РБК, популяризация государственной и муниципальной службы у молодежи обсуждалась в качестве отдельного федпроекта (в проекте паспорта отдельного такого федпроекта нет).</w:t>
      </w:r>
    </w:p>
    <w:p w14:paraId="2F641430" w14:textId="77777777" w:rsidR="00046CCA" w:rsidRPr="00397EEA" w:rsidRDefault="00046CCA" w:rsidP="00046CCA">
      <w:r w:rsidRPr="00397EEA">
        <w:t xml:space="preserve">Второй федеральный проект, вошедший в проект паспорта, - </w:t>
      </w:r>
      <w:r w:rsidR="00397EEA">
        <w:t>«</w:t>
      </w:r>
      <w:r w:rsidRPr="00397EEA">
        <w:t>Образование для рынка труда</w:t>
      </w:r>
      <w:r w:rsidR="00397EEA">
        <w:t>»</w:t>
      </w:r>
      <w:r w:rsidRPr="00397EEA">
        <w:t xml:space="preserve">. В его рамках предполагается довести уровень трудоустройства выпускников высшего образования до 77% в первый год выпуска и до 81,4% во второй, рейтинговать образовательные учреждения по уровню трудоустройства и зарплатам, совершенствовать систему центров карьеры в вузах, готовить преподавателей для востребованных </w:t>
      </w:r>
      <w:r w:rsidR="00397EEA">
        <w:t>«</w:t>
      </w:r>
      <w:r w:rsidRPr="00397EEA">
        <w:t>профессий будущего</w:t>
      </w:r>
      <w:r w:rsidR="00397EEA">
        <w:t>»</w:t>
      </w:r>
      <w:r w:rsidRPr="00397EEA">
        <w:t xml:space="preserve"> (в частности, планируется подготовка 18 тыс. преподавателей в сфере искусственного интеллекта), стимулировать повышение квалификации на предприятиях ОПК. Кроме того, поставлены цели и по конкретным компаниям: например, число выпускников кластерных программ, готовящих работников для высокотехнологичных производств </w:t>
      </w:r>
      <w:r w:rsidR="00397EEA">
        <w:t>«</w:t>
      </w:r>
      <w:r w:rsidRPr="00397EEA">
        <w:t>Росатома</w:t>
      </w:r>
      <w:r w:rsidR="00397EEA">
        <w:t>»</w:t>
      </w:r>
      <w:r w:rsidRPr="00397EEA">
        <w:t>, к 2030 году должно превысить 23 тыс. человек.</w:t>
      </w:r>
    </w:p>
    <w:p w14:paraId="2D67398C" w14:textId="77777777" w:rsidR="00046CCA" w:rsidRPr="00397EEA" w:rsidRDefault="00046CCA" w:rsidP="00046CCA">
      <w:r w:rsidRPr="00397EEA">
        <w:t xml:space="preserve">Третий федеральный проект - </w:t>
      </w:r>
      <w:r w:rsidR="00397EEA">
        <w:t>«</w:t>
      </w:r>
      <w:r w:rsidRPr="00397EEA">
        <w:t>Активные меры содействия занятости</w:t>
      </w:r>
      <w:r w:rsidR="00397EEA">
        <w:t>»</w:t>
      </w:r>
      <w:r w:rsidRPr="00397EEA">
        <w:t xml:space="preserve">. Им запланирована переквалификация 250 тыс. человек ежегодно, а также оборудование 8,3 тыс. рабочих мест в год для инвалидов, включая инвалидов специальной военной операции. В рамках федпроекта также планируется оказывать методическую поддержку миграционных центров и снижение нелегальной занятости, субсидировать наем </w:t>
      </w:r>
      <w:r w:rsidR="00397EEA">
        <w:t>«</w:t>
      </w:r>
      <w:r w:rsidRPr="00397EEA">
        <w:t>отдельных категорий граждан, испытывающих трудности в поиске работы</w:t>
      </w:r>
      <w:r w:rsidR="00397EEA">
        <w:t>»</w:t>
      </w:r>
      <w:r w:rsidRPr="00397EEA">
        <w:t>, развивать молодежное предпринимательство в приоритетных отраслях. Из проекта паспорта следует, что власти проведут анализ особенностей незанятого населения в трудоспособном возрасте и предложат решения по вовлечению их на рынок труда.</w:t>
      </w:r>
    </w:p>
    <w:p w14:paraId="6C178DF8" w14:textId="77777777" w:rsidR="00046CCA" w:rsidRPr="00397EEA" w:rsidRDefault="00046CCA" w:rsidP="00046CCA">
      <w:r w:rsidRPr="00397EEA">
        <w:t xml:space="preserve">Четвертый федпроект - это </w:t>
      </w:r>
      <w:r w:rsidR="00397EEA">
        <w:t>«</w:t>
      </w:r>
      <w:r w:rsidRPr="00397EEA">
        <w:t>Человек труда</w:t>
      </w:r>
      <w:r w:rsidR="00397EEA">
        <w:t>»</w:t>
      </w:r>
      <w:r w:rsidRPr="00397EEA">
        <w:t>. Основные его задачи - повышение доли граждан, считающих рабочие профессии престижными, с 61% в 2025 году до 73% в 2030-м. Для этого планируется проводить ярмарки трудоустройства, фестивали профессий, программы</w:t>
      </w:r>
    </w:p>
    <w:p w14:paraId="5EAE4253" w14:textId="77777777" w:rsidR="00046CCA" w:rsidRPr="00397EEA" w:rsidRDefault="00046CCA" w:rsidP="00046CCA">
      <w:r w:rsidRPr="00397EEA">
        <w:t>по профессиональной ориентации молодежи.</w:t>
      </w:r>
    </w:p>
    <w:p w14:paraId="5E336542" w14:textId="77777777" w:rsidR="00046CCA" w:rsidRPr="00397EEA" w:rsidRDefault="00046CCA" w:rsidP="00046CCA">
      <w:r w:rsidRPr="00397EEA">
        <w:lastRenderedPageBreak/>
        <w:t>Вопрос мигрантов</w:t>
      </w:r>
    </w:p>
    <w:p w14:paraId="74C07F86" w14:textId="77777777" w:rsidR="00046CCA" w:rsidRPr="00397EEA" w:rsidRDefault="00046CCA" w:rsidP="00046CCA">
      <w:r w:rsidRPr="00397EEA">
        <w:t xml:space="preserve">На сегодняшний момент паспорт нацпроекта </w:t>
      </w:r>
      <w:r w:rsidR="00397EEA">
        <w:t>«</w:t>
      </w:r>
      <w:r w:rsidRPr="00397EEA">
        <w:t>Кадры</w:t>
      </w:r>
      <w:r w:rsidR="00397EEA">
        <w:t>»</w:t>
      </w:r>
      <w:r w:rsidRPr="00397EEA">
        <w:t xml:space="preserve"> не дает понимания того, как решать вопрос с мигрантами, говорит сопредседатель </w:t>
      </w:r>
      <w:r w:rsidR="00397EEA">
        <w:t>«</w:t>
      </w:r>
      <w:r w:rsidRPr="00397EEA">
        <w:t>Деловой России</w:t>
      </w:r>
      <w:r w:rsidR="00397EEA">
        <w:t>»</w:t>
      </w:r>
      <w:r w:rsidRPr="00397EEA">
        <w:t xml:space="preserve"> Антон Данилов-Данильян. Кроме того, формулировки мер достаточно общие и не всегда позволяют сделать выводы об их потенциальной эффективности. </w:t>
      </w:r>
      <w:r w:rsidR="00397EEA">
        <w:t>«</w:t>
      </w:r>
      <w:r w:rsidRPr="00397EEA">
        <w:t>Меры называются, но не расшифровываются. Дьявол в деталях, и что там внутри - пока непонятно. Соответственно, сложно оценить, хватит ли этих мер, чтобы закрыть многомиллионный дефицит рабочей силы</w:t>
      </w:r>
      <w:r w:rsidR="00397EEA">
        <w:t>»</w:t>
      </w:r>
      <w:r w:rsidRPr="00397EEA">
        <w:t>, - сказал он в разговоре с РБК.</w:t>
      </w:r>
    </w:p>
    <w:p w14:paraId="17E91CC3" w14:textId="77777777" w:rsidR="00046CCA" w:rsidRPr="00397EEA" w:rsidRDefault="00046CCA" w:rsidP="00046CCA">
      <w:r w:rsidRPr="00397EEA">
        <w:t xml:space="preserve">Кроме того, меры долгосрочные, а кадры требуются сейчас - по оценке </w:t>
      </w:r>
      <w:r w:rsidR="00397EEA">
        <w:t>«</w:t>
      </w:r>
      <w:r w:rsidRPr="00397EEA">
        <w:t>Деловой России</w:t>
      </w:r>
      <w:r w:rsidR="00397EEA">
        <w:t>»</w:t>
      </w:r>
      <w:r w:rsidRPr="00397EEA">
        <w:t xml:space="preserve">, уже сегодня экономике не хватает порядка 2,5 млн рабочих рук, добавляет эксперт. </w:t>
      </w:r>
      <w:r w:rsidR="00397EEA">
        <w:t>«</w:t>
      </w:r>
      <w:r w:rsidRPr="00397EEA">
        <w:t>Eсли они будут набираться из мигрантов, надо понять, какая будет политика - если нынешняя, то этого не хватит, чтобы закрыть потребность, если измененная - то как именно?</w:t>
      </w:r>
      <w:r w:rsidR="00397EEA">
        <w:t>»</w:t>
      </w:r>
      <w:r w:rsidRPr="00397EEA">
        <w:t xml:space="preserve"> - продолжает Данилов-Данильян.</w:t>
      </w:r>
    </w:p>
    <w:p w14:paraId="650119AA" w14:textId="77777777" w:rsidR="00046CCA" w:rsidRPr="00397EEA" w:rsidRDefault="00046CCA" w:rsidP="00046CCA">
      <w:r w:rsidRPr="00397EEA">
        <w:t xml:space="preserve">Как ранее писал РБК, власти обсуждали создание отдельного федерального проекта по </w:t>
      </w:r>
      <w:r w:rsidR="00397EEA">
        <w:t>«</w:t>
      </w:r>
      <w:r w:rsidRPr="00397EEA">
        <w:t>повышению управляемости найма</w:t>
      </w:r>
      <w:r w:rsidR="00397EEA">
        <w:t>»</w:t>
      </w:r>
      <w:r w:rsidRPr="00397EEA">
        <w:t xml:space="preserve"> мигрантов. По всей видимости, эту </w:t>
      </w:r>
      <w:r w:rsidR="00397EEA">
        <w:t>«</w:t>
      </w:r>
      <w:r w:rsidRPr="00397EEA">
        <w:t>острую тему</w:t>
      </w:r>
      <w:r w:rsidR="00397EEA">
        <w:t>»</w:t>
      </w:r>
      <w:r w:rsidRPr="00397EEA">
        <w:t xml:space="preserve"> решили пока не трогать, отмечает собеседник РБК, знакомый с ходом работы над нацпроектом.</w:t>
      </w:r>
    </w:p>
    <w:p w14:paraId="76426AC4" w14:textId="77777777" w:rsidR="00046CCA" w:rsidRPr="00397EEA" w:rsidRDefault="00046CCA" w:rsidP="00046CCA">
      <w:r w:rsidRPr="00397EEA">
        <w:t>Миграционный приток рабочей силы в Россию после 2022 года так и не смог восстановиться до доковидного уровня, констатировали в РАНХиГС. В 2023 году число иностранных трудовых мигрантов на российском рынке труда составило около 3,5 млн человек - это почти на 1 млн ниже допандемийного показателя 2019 года. Нелегальных мигрантов в России около 630 тыс., согласно оценке МВД.</w:t>
      </w:r>
    </w:p>
    <w:p w14:paraId="6D06E380" w14:textId="77777777" w:rsidR="00046CCA" w:rsidRPr="00397EEA" w:rsidRDefault="00046CCA" w:rsidP="00046CCA">
      <w:r w:rsidRPr="00397EEA">
        <w:t>***</w:t>
      </w:r>
    </w:p>
    <w:p w14:paraId="3C52A0E8" w14:textId="77777777" w:rsidR="00046CCA" w:rsidRPr="00397EEA" w:rsidRDefault="00046CCA" w:rsidP="00046CCA">
      <w:r w:rsidRPr="00397EEA">
        <w:t>Пенсионерам могут присвоить за год не больше трех баллов, а всем остальным лицам трудоспособного возраста могут прибавить до 10 баллов в зависимости от суммы перечисленных страховых взносов. При этом работодатели перечисляют за всех одинаковые суммы. Это несправедливо, это нарушение страховых принципов</w:t>
      </w:r>
    </w:p>
    <w:p w14:paraId="48F3C46A" w14:textId="77777777" w:rsidR="00046CCA" w:rsidRPr="00397EEA" w:rsidRDefault="00046CCA" w:rsidP="00046CCA">
      <w:r w:rsidRPr="00397EEA">
        <w:t>Депутат государственной думы от ЛДПР Ярослав Нилов</w:t>
      </w:r>
    </w:p>
    <w:p w14:paraId="4AC2F212" w14:textId="77777777" w:rsidR="00046CCA" w:rsidRPr="00397EEA" w:rsidRDefault="00046CCA" w:rsidP="00046CCA">
      <w:r w:rsidRPr="00397EEA">
        <w:t>***</w:t>
      </w:r>
    </w:p>
    <w:p w14:paraId="33CD7508" w14:textId="77777777" w:rsidR="00046CCA" w:rsidRPr="00397EEA" w:rsidRDefault="00046CCA" w:rsidP="00046CCA">
      <w:r w:rsidRPr="00397EEA">
        <w:t xml:space="preserve">2,5 млн рабочих рук уже сегодня не хватает российской экономике, по оценке </w:t>
      </w:r>
      <w:r w:rsidR="00397EEA">
        <w:t>«</w:t>
      </w:r>
      <w:r w:rsidRPr="00397EEA">
        <w:t>Деловой России</w:t>
      </w:r>
      <w:r w:rsidR="00397EEA">
        <w:t>»</w:t>
      </w:r>
    </w:p>
    <w:p w14:paraId="6C0F7B3C" w14:textId="77777777" w:rsidR="00046CCA" w:rsidRPr="00397EEA" w:rsidRDefault="00046CCA" w:rsidP="00046CCA">
      <w:r w:rsidRPr="00397EEA">
        <w:t>***</w:t>
      </w:r>
    </w:p>
    <w:p w14:paraId="28F7AA01" w14:textId="77777777" w:rsidR="00046CCA" w:rsidRPr="00397EEA" w:rsidRDefault="00046CCA" w:rsidP="00046CCA">
      <w:r w:rsidRPr="00397EEA">
        <w:t xml:space="preserve">1 трлн руб. составит совокупное финансирование нацпроекта </w:t>
      </w:r>
      <w:r w:rsidR="00397EEA">
        <w:t>«</w:t>
      </w:r>
      <w:r w:rsidRPr="00397EEA">
        <w:t>Кадры</w:t>
      </w:r>
      <w:r w:rsidR="00397EEA">
        <w:t>»</w:t>
      </w:r>
      <w:r w:rsidRPr="00397EEA">
        <w:t xml:space="preserve"> в 2025-2030 годах</w:t>
      </w:r>
    </w:p>
    <w:p w14:paraId="4041AFEC" w14:textId="77777777" w:rsidR="00046CCA" w:rsidRPr="00397EEA" w:rsidRDefault="00046CCA" w:rsidP="00046CCA">
      <w:r w:rsidRPr="00397EEA">
        <w:t>***</w:t>
      </w:r>
    </w:p>
    <w:p w14:paraId="3306B61E" w14:textId="77777777" w:rsidR="00046CCA" w:rsidRPr="00397EEA" w:rsidRDefault="00046CCA" w:rsidP="00046CCA">
      <w:r w:rsidRPr="00397EEA">
        <w:t>Что такое ИПК</w:t>
      </w:r>
    </w:p>
    <w:p w14:paraId="23857E62" w14:textId="77777777" w:rsidR="00046CCA" w:rsidRPr="00397EEA" w:rsidRDefault="00046CCA" w:rsidP="00046CCA">
      <w:r w:rsidRPr="00397EEA">
        <w:t xml:space="preserve">Индивидуальный пенсионный коэффициент (ИПК), или пенсионный балл, - это параметр, отражающий в относительных единицах пенсионные права застрахованных лиц на страховую пенсию. Их начисляют за каждый год работы или иной деятельности, необходимой для расчета пенсии. В баллы конвертируются страховые взносы, уплаченные работодателем. Соответственно, чем выше зарплата, тем больше баллов </w:t>
      </w:r>
      <w:r w:rsidRPr="00397EEA">
        <w:lastRenderedPageBreak/>
        <w:t>будет начислено, но не более десяти за год. Чтобы получить 10 ИПК, в 2024 году необходимо официально зарабатывать 185,4 тыс. руб. в месяц (этот показатель получен исходя из так называемой предельной величины базы по страховым взносам, которая ежегодно индексируется).</w:t>
      </w:r>
    </w:p>
    <w:p w14:paraId="534E3524" w14:textId="77777777" w:rsidR="00046CCA" w:rsidRPr="00397EEA" w:rsidRDefault="00046CCA" w:rsidP="00046CCA">
      <w:r w:rsidRPr="00397EEA">
        <w:t xml:space="preserve">Работающие пенсионеры могут заработать за год не более трех ИПК - это означает, что при начислении баллов в счет идет официальная зарплата на уровне 55,6 тыс. руб. в месяц. Eсли пенсионер получает больше - остальная часть </w:t>
      </w:r>
      <w:r w:rsidR="00397EEA">
        <w:t>«</w:t>
      </w:r>
      <w:r w:rsidRPr="00397EEA">
        <w:t>сгорает</w:t>
      </w:r>
      <w:r w:rsidR="00397EEA">
        <w:t>»</w:t>
      </w:r>
      <w:r w:rsidRPr="00397EEA">
        <w:t xml:space="preserve"> и при расчете ИПК не учитывается. В случае с работающими пенсионерами размер полученных за предыдущий год ИПК влияет на ежегодный перерасчет размера пенсии, который происходит 1 августа, - в 2024 году за три накопленных ИПК работающий пенсионер мог рассчитывать на 399 руб. прибавки к пенсии (исходя из стоимости одного ИПК в 2024 году 133,05 руб.). Соответственно, при десяти накопленных ИПК размер увеличения составил бы уже 1330 руб.</w:t>
      </w:r>
    </w:p>
    <w:p w14:paraId="7A59811D" w14:textId="77777777" w:rsidR="00813490" w:rsidRPr="00397EEA" w:rsidRDefault="00813490" w:rsidP="00813490">
      <w:pPr>
        <w:pStyle w:val="2"/>
      </w:pPr>
      <w:bookmarkStart w:id="96" w:name="a10"/>
      <w:bookmarkStart w:id="97" w:name="_Toc175897232"/>
      <w:bookmarkEnd w:id="96"/>
      <w:r w:rsidRPr="00397EEA">
        <w:t>РИА Новости, 29.08.2024, Социальный фонд объяснил, как срочная служба в армии влияет на пенсию</w:t>
      </w:r>
      <w:bookmarkEnd w:id="97"/>
    </w:p>
    <w:p w14:paraId="56BB29F9" w14:textId="77777777" w:rsidR="00813490" w:rsidRPr="00397EEA" w:rsidRDefault="00813490" w:rsidP="00CB047E">
      <w:pPr>
        <w:pStyle w:val="3"/>
      </w:pPr>
      <w:bookmarkStart w:id="98" w:name="_Toc175897233"/>
      <w:r w:rsidRPr="00397EEA">
        <w:t>Срочная служба в армии засчитывается в пенсионный стаж и превращается в год стажа и 1,8 пенсионного коэффициента, этот период будет учтен и при досрочном выходе на пенсию, сообщили РИА Новости в Социальной фонде России.</w:t>
      </w:r>
      <w:bookmarkEnd w:id="98"/>
    </w:p>
    <w:p w14:paraId="654619C9" w14:textId="77777777" w:rsidR="00813490" w:rsidRPr="00397EEA" w:rsidRDefault="00397EEA" w:rsidP="00813490">
      <w:r>
        <w:t>«</w:t>
      </w:r>
      <w:r w:rsidR="00813490" w:rsidRPr="00397EEA">
        <w:t>Время срочной службы в армии учитывается при оформлении пенсии. Такой период дает человеку не только стаж, но и пенсионные коэффициенты. Год службы по призыву, например, формирует один год стажа и 1,8 пенсионного коэффициента</w:t>
      </w:r>
      <w:r>
        <w:t>»</w:t>
      </w:r>
      <w:r w:rsidR="00813490" w:rsidRPr="00397EEA">
        <w:t xml:space="preserve">, - рассказали в Соцфонде. </w:t>
      </w:r>
    </w:p>
    <w:p w14:paraId="4D58162D" w14:textId="77777777" w:rsidR="00813490" w:rsidRPr="00397EEA" w:rsidRDefault="00813490" w:rsidP="00813490">
      <w:r w:rsidRPr="00397EEA">
        <w:t xml:space="preserve">Отмечается, что служба в советской армии дает такие же пенсионные права. При этом службу до 2002 года можно засчитать для пенсии альтернативным способом, который дает больше стажа. В таком случае периоды службы учитываются в двойном размере - то есть год за два. Период участия в боевых действиях учитывается в тройном размере. </w:t>
      </w:r>
    </w:p>
    <w:p w14:paraId="4757943D" w14:textId="77777777" w:rsidR="00813490" w:rsidRPr="00397EEA" w:rsidRDefault="00397EEA" w:rsidP="00813490">
      <w:r>
        <w:t>«</w:t>
      </w:r>
      <w:r w:rsidR="00813490" w:rsidRPr="00397EEA">
        <w:t>Однако следует иметь в виду, что такой вариант подсчета не всегда дает более высокий размер пенсии. В каждом случае специалисты смотрят индивидуально и считают, какой вариант учета военной службы более выгодный человеку</w:t>
      </w:r>
      <w:r>
        <w:t>»</w:t>
      </w:r>
      <w:r w:rsidR="00813490" w:rsidRPr="00397EEA">
        <w:t>, - объяснили в фонде.</w:t>
      </w:r>
    </w:p>
    <w:p w14:paraId="05DEC47A" w14:textId="77777777" w:rsidR="00813490" w:rsidRPr="00397EEA" w:rsidRDefault="00813490" w:rsidP="00813490">
      <w:r w:rsidRPr="00397EEA">
        <w:t>Кроме того, по данным Соцфонда, служба в армии учитывается при оформлении досрочной пенсии, когда человек выходит на пенсию раньше по стажу. Для женщин он составляет 37 лет, для мужчин – 42 года.</w:t>
      </w:r>
    </w:p>
    <w:p w14:paraId="4E242767" w14:textId="77777777" w:rsidR="00111D7C" w:rsidRPr="00397EEA" w:rsidRDefault="00997114" w:rsidP="00813490">
      <w:hyperlink r:id="rId26" w:history="1">
        <w:r w:rsidR="00813490" w:rsidRPr="00397EEA">
          <w:rPr>
            <w:rStyle w:val="a3"/>
          </w:rPr>
          <w:t>https://ria.ru/20240829/sluzhba-1969097198.html</w:t>
        </w:r>
      </w:hyperlink>
    </w:p>
    <w:p w14:paraId="5C088544" w14:textId="77777777" w:rsidR="00117B8B" w:rsidRPr="00397EEA" w:rsidRDefault="00117B8B" w:rsidP="00117B8B">
      <w:pPr>
        <w:pStyle w:val="2"/>
      </w:pPr>
      <w:bookmarkStart w:id="99" w:name="_Toc175897234"/>
      <w:r w:rsidRPr="00397EEA">
        <w:lastRenderedPageBreak/>
        <w:t>Пенсия.pro, 29.08.2024, Правительство определилось с надбавкой к пенсии за трудовой стаж на Украине</w:t>
      </w:r>
      <w:bookmarkEnd w:id="99"/>
    </w:p>
    <w:p w14:paraId="4DED5C4A" w14:textId="77777777" w:rsidR="00117B8B" w:rsidRPr="00397EEA" w:rsidRDefault="00117B8B" w:rsidP="00CB047E">
      <w:pPr>
        <w:pStyle w:val="3"/>
      </w:pPr>
      <w:bookmarkStart w:id="100" w:name="_Toc175897235"/>
      <w:r w:rsidRPr="00397EEA">
        <w:t>Перерасчет пенсий по старости россиянам, которые с 1991 года жили и работали на территории Украины, принесет в 2024 году каждому из них ежемесячную доплату размером 2 385 рублей в среднем. Это следует из законопроекта, который правительство России внесло в Госдуму.</w:t>
      </w:r>
      <w:bookmarkEnd w:id="100"/>
    </w:p>
    <w:p w14:paraId="25FA73E0" w14:textId="77777777" w:rsidR="00117B8B" w:rsidRPr="00397EEA" w:rsidRDefault="00117B8B" w:rsidP="00117B8B">
      <w:r w:rsidRPr="00397EEA">
        <w:t xml:space="preserve">Перерасчет будет проводиться ежегодно, пишет </w:t>
      </w:r>
      <w:r w:rsidR="00397EEA">
        <w:t>«</w:t>
      </w:r>
      <w:r w:rsidRPr="00397EEA">
        <w:t>Парламентская газета</w:t>
      </w:r>
      <w:r w:rsidR="00397EEA">
        <w:t>»</w:t>
      </w:r>
      <w:r w:rsidRPr="00397EEA">
        <w:t>. В 2025-м надбавка должна составить 2 524 рубля, в 2026 году — 2 686 рублей.</w:t>
      </w:r>
    </w:p>
    <w:p w14:paraId="143C2EEC" w14:textId="77777777" w:rsidR="00117B8B" w:rsidRPr="00397EEA" w:rsidRDefault="00117B8B" w:rsidP="00117B8B">
      <w:r w:rsidRPr="00397EEA">
        <w:t>По новому правительственному закону (вероятность его принятия максимально высока) в идеале стаж и размер заработка должны быть подтверждены документами, выданными работодателями, государственными или муниципальными органами власти. Если это невозможно, решение будет принимать межведомственная комиссия, созданная в каждом так называемом новом субъекте РФ.</w:t>
      </w:r>
    </w:p>
    <w:p w14:paraId="63E0BF57" w14:textId="77777777" w:rsidR="00117B8B" w:rsidRPr="00397EEA" w:rsidRDefault="00117B8B" w:rsidP="00117B8B">
      <w:r w:rsidRPr="00397EEA">
        <w:t>Работу на территории Украины с 1991 года гражданам России собираются засчитывать в страховой стаж и начислять за каждый полный год пенсионный коэффициент, равный единице. Поправки должны коснуться свыше 230 000 новоиспеченных российских граждан. Еще более 3 000 человек начнут получать выплаты, в назначении которых им раньше отказали из-за нехватки стажа или величины индивидуального пенсионного коэффициента, утверждают в кабмине.</w:t>
      </w:r>
    </w:p>
    <w:p w14:paraId="401961DE" w14:textId="77777777" w:rsidR="00117B8B" w:rsidRPr="00397EEA" w:rsidRDefault="00997114" w:rsidP="00117B8B">
      <w:hyperlink r:id="rId27" w:history="1">
        <w:r w:rsidR="00117B8B" w:rsidRPr="00397EEA">
          <w:rPr>
            <w:rStyle w:val="a3"/>
          </w:rPr>
          <w:t>https://pensiya.pro/news/pravitelstvo-opredelilos-s-nadbavkoj-k-pensii-za-trudovoj-stazh-na-ukraine/</w:t>
        </w:r>
      </w:hyperlink>
      <w:r w:rsidR="00117B8B" w:rsidRPr="00397EEA">
        <w:t xml:space="preserve"> </w:t>
      </w:r>
    </w:p>
    <w:p w14:paraId="28CC65C1" w14:textId="77777777" w:rsidR="00813490" w:rsidRPr="00397EEA" w:rsidRDefault="00813490" w:rsidP="00813490">
      <w:pPr>
        <w:pStyle w:val="2"/>
      </w:pPr>
      <w:bookmarkStart w:id="101" w:name="_Toc175897236"/>
      <w:r w:rsidRPr="00397EEA">
        <w:t>Актуальные Новости, 29.08.2024, Юрист Соловьев заявил, что домохозяйки могут сформировать пенсию через взносы в Соцфонд</w:t>
      </w:r>
      <w:bookmarkEnd w:id="101"/>
    </w:p>
    <w:p w14:paraId="44686A5D" w14:textId="77777777" w:rsidR="00813490" w:rsidRPr="00397EEA" w:rsidRDefault="00813490" w:rsidP="00CB047E">
      <w:pPr>
        <w:pStyle w:val="3"/>
      </w:pPr>
      <w:bookmarkStart w:id="102" w:name="_Toc175897237"/>
      <w:r w:rsidRPr="00397EEA">
        <w:t>Юрист Иван Соловьев в разговоре с отечественными журналистами объяснил домохозяйкам, как они могут оформить пенсионные выплаты. По его словам, они способны рассчитывать на социальную пенсию или оформить свою будущую пенсию самостоятельно.</w:t>
      </w:r>
      <w:bookmarkEnd w:id="102"/>
    </w:p>
    <w:p w14:paraId="74C55609" w14:textId="77777777" w:rsidR="00813490" w:rsidRPr="00397EEA" w:rsidRDefault="00813490" w:rsidP="00813490">
      <w:r w:rsidRPr="00397EEA">
        <w:t>Иван Соловьев напоминает, жителям Российской Федерации без достаточного трудового стажа полагаются социальные выплаты. В этом году минимальный размер таких выплат достигает почти 7 700 рублей.</w:t>
      </w:r>
    </w:p>
    <w:p w14:paraId="518298D2" w14:textId="77777777" w:rsidR="00813490" w:rsidRPr="00397EEA" w:rsidRDefault="00813490" w:rsidP="00813490">
      <w:r w:rsidRPr="00397EEA">
        <w:t>Домохозяйки, как и другие нетрудоустроенные граждане страны, имеют право самостоятельно сформировать свою пенсию через взносы на свое обязательное пенсионное и медицинское страхование в Социальный фонд, отмечает эксперт.</w:t>
      </w:r>
    </w:p>
    <w:p w14:paraId="1A2D8C61" w14:textId="77777777" w:rsidR="00813490" w:rsidRPr="00397EEA" w:rsidRDefault="00813490" w:rsidP="00813490">
      <w:r w:rsidRPr="00397EEA">
        <w:t>По словам Соловьева, чем больше вкладывается, тем больше начисляется пенсионных коэффициентов и стажа. Уровень минимального размера таких взносов сейчас составляет около 50 800 рублей. Максимальный же размер – более 400 000 рублей.</w:t>
      </w:r>
    </w:p>
    <w:p w14:paraId="606F21C7" w14:textId="77777777" w:rsidR="00813490" w:rsidRPr="00397EEA" w:rsidRDefault="00813490" w:rsidP="00813490">
      <w:r w:rsidRPr="00397EEA">
        <w:t xml:space="preserve">Ранее бывший председатель Банка России Сергей Дубинин заявил, что цены в России растут из-за высоких трат из бюджета страны. Он отмечает, что выплаты контрактникам Минобороны и высокие социальные пособия </w:t>
      </w:r>
      <w:r w:rsidR="00397EEA">
        <w:t>«</w:t>
      </w:r>
      <w:r w:rsidRPr="00397EEA">
        <w:t xml:space="preserve">создают денежный </w:t>
      </w:r>
      <w:r w:rsidRPr="00397EEA">
        <w:lastRenderedPageBreak/>
        <w:t>поток</w:t>
      </w:r>
      <w:r w:rsidR="00397EEA">
        <w:t>»</w:t>
      </w:r>
      <w:r w:rsidRPr="00397EEA">
        <w:t xml:space="preserve"> для тех, кто раньше мог потратить имеющиеся средства в основном только на еду. Теперь же эти люди активно тратят деньги, что провоцирует рост цен.</w:t>
      </w:r>
    </w:p>
    <w:p w14:paraId="226FC682" w14:textId="77777777" w:rsidR="00813490" w:rsidRPr="00397EEA" w:rsidRDefault="00997114" w:rsidP="00813490">
      <w:hyperlink r:id="rId28" w:history="1">
        <w:r w:rsidR="00813490" w:rsidRPr="00397EEA">
          <w:rPr>
            <w:rStyle w:val="a3"/>
          </w:rPr>
          <w:t>https://actualnews.org/exclusive/530031-jurist-solovev-zajavil-chto-domohozjajki-mogut-sformirovat-pensiju-cherez-vznosy-v-socfond.html</w:t>
        </w:r>
      </w:hyperlink>
    </w:p>
    <w:p w14:paraId="351F1C54" w14:textId="77777777" w:rsidR="00117B8B" w:rsidRPr="00397EEA" w:rsidRDefault="00117B8B" w:rsidP="00117B8B">
      <w:pPr>
        <w:pStyle w:val="2"/>
      </w:pPr>
      <w:bookmarkStart w:id="103" w:name="_Toc175897238"/>
      <w:r w:rsidRPr="00397EEA">
        <w:t>PRIMPRESS, 29.08.2024, Указ подписан. Разовая выплата пенсионерам 20 000 рублей начнется с 30 августа</w:t>
      </w:r>
      <w:bookmarkEnd w:id="103"/>
    </w:p>
    <w:p w14:paraId="058E97B7" w14:textId="77777777" w:rsidR="00117B8B" w:rsidRPr="00397EEA" w:rsidRDefault="00117B8B" w:rsidP="00CB047E">
      <w:pPr>
        <w:pStyle w:val="3"/>
      </w:pPr>
      <w:bookmarkStart w:id="104" w:name="_Toc175897239"/>
      <w:r w:rsidRPr="00397EEA">
        <w:t>Пенсионерам рассказали о новой единовременной выплате, которую начнут перечислять уже с 30 августа. Дополнительный бонус получат те люди, которые достигли определенного возрастного порога. И указ на эту тему ранее был подписан на уровне региона. Об этом рассказал пенсионный эксперт Сергей Власов, сообщает PRIMPRESS.</w:t>
      </w:r>
      <w:bookmarkEnd w:id="104"/>
    </w:p>
    <w:p w14:paraId="4A5EE8C0" w14:textId="77777777" w:rsidR="00117B8B" w:rsidRPr="00397EEA" w:rsidRDefault="00117B8B" w:rsidP="00117B8B">
      <w:r w:rsidRPr="00397EEA">
        <w:t>Новое разовое пособие, по словам эксперта, будет доступно тем гражданам, которые достигли очень преклонного возраста. На федеральном уровне рассчитывать на финансовый бонус могут те, кому уже исполнилось 80 лет. Для них удваивается фиксированная выплата к пенсии, то есть прибавка составляет порядка 8100 рублей.</w:t>
      </w:r>
    </w:p>
    <w:p w14:paraId="3613DA1A" w14:textId="77777777" w:rsidR="00117B8B" w:rsidRPr="00397EEA" w:rsidRDefault="00117B8B" w:rsidP="00117B8B">
      <w:r w:rsidRPr="00397EEA">
        <w:t>Однако на уровне многих регионов пенсионерам выдают еще и дополнительные деньги уже в более старшем возрасте. Например, такое решение ранее было принято властями в Северной столице, благодаря чему подписали соответствующий указ.</w:t>
      </w:r>
    </w:p>
    <w:p w14:paraId="32A2F4CF" w14:textId="77777777" w:rsidR="00117B8B" w:rsidRPr="00397EEA" w:rsidRDefault="00397EEA" w:rsidP="00117B8B">
      <w:r>
        <w:t>«</w:t>
      </w:r>
      <w:r w:rsidR="00117B8B" w:rsidRPr="00397EEA">
        <w:t>Тем, кто отметит 90-летний юбилей, власти пообещали единовременно выплатить по 15 тысяч рублей. На 95-летие выплата составит 20 тысяч рублей, а к вековому юбилею размер разового пособия достигнет уже уровня в 25 тысяч рублей. Причем эту сумму пенсионерам обещают выплачивать затем уже каждый год после того, как они разменяют десятый десяток</w:t>
      </w:r>
      <w:r>
        <w:t>»</w:t>
      </w:r>
      <w:r w:rsidR="00117B8B" w:rsidRPr="00397EEA">
        <w:t>, – объяснил Власов.</w:t>
      </w:r>
    </w:p>
    <w:p w14:paraId="3096691D" w14:textId="77777777" w:rsidR="00117B8B" w:rsidRPr="00397EEA" w:rsidRDefault="00117B8B" w:rsidP="00117B8B">
      <w:r w:rsidRPr="00397EEA">
        <w:t>Чтобы получить такие деньги, нужно подать заявление, причем это могут сделать и законные представители пожилого человека. А тем, у кого юбилей пришелся на этот или прошлый месяц, выплата начнет поступать с 30 августа.</w:t>
      </w:r>
    </w:p>
    <w:p w14:paraId="154B550E" w14:textId="77777777" w:rsidR="00813490" w:rsidRPr="00397EEA" w:rsidRDefault="00997114" w:rsidP="00117B8B">
      <w:hyperlink r:id="rId29" w:history="1">
        <w:r w:rsidR="00117B8B" w:rsidRPr="00397EEA">
          <w:rPr>
            <w:rStyle w:val="a3"/>
          </w:rPr>
          <w:t>https://primpress.ru/article/115439</w:t>
        </w:r>
      </w:hyperlink>
    </w:p>
    <w:p w14:paraId="060AB38F" w14:textId="77777777" w:rsidR="00117B8B" w:rsidRPr="00397EEA" w:rsidRDefault="00117B8B" w:rsidP="00117B8B">
      <w:pPr>
        <w:pStyle w:val="2"/>
      </w:pPr>
      <w:bookmarkStart w:id="105" w:name="_Toc175897240"/>
      <w:r w:rsidRPr="00397EEA">
        <w:t>PRIMPRESS, 29.08.2024, Уже точно. Из сентябрьской пенсии вычтут 6560 рублей – кто в списках</w:t>
      </w:r>
      <w:bookmarkEnd w:id="105"/>
    </w:p>
    <w:p w14:paraId="639734A3" w14:textId="77777777" w:rsidR="00117B8B" w:rsidRPr="00397EEA" w:rsidRDefault="00117B8B" w:rsidP="00CB047E">
      <w:pPr>
        <w:pStyle w:val="3"/>
      </w:pPr>
      <w:bookmarkStart w:id="106" w:name="_Toc175897241"/>
      <w:r w:rsidRPr="00397EEA">
        <w:t>Пенсионерам рассказали об изменении размера выплат, которое ожидается уже в сентябре. В начале осени у многих из пенсии вычтут сумму более чем в шесть тысяч рублей. И это будет происходить при определенных условиях. Об этом рассказала пенсионный эксперт Анастасия Киреева, сообщает PRIMPRESS.</w:t>
      </w:r>
      <w:bookmarkEnd w:id="106"/>
    </w:p>
    <w:p w14:paraId="3ACB3A31" w14:textId="77777777" w:rsidR="00117B8B" w:rsidRPr="00397EEA" w:rsidRDefault="00117B8B" w:rsidP="00117B8B">
      <w:r w:rsidRPr="00397EEA">
        <w:t>По ее словам, денежные списания из пенсионных выплат будут производиться на уровне судебных приставов. Федеральная служба не так давно получила новое правило, по которому взыскивать деньги с должников теперь можно в принудительном порядке.</w:t>
      </w:r>
    </w:p>
    <w:p w14:paraId="21842FA3" w14:textId="77777777" w:rsidR="00117B8B" w:rsidRPr="00397EEA" w:rsidRDefault="00117B8B" w:rsidP="00117B8B">
      <w:r w:rsidRPr="00397EEA">
        <w:t xml:space="preserve">Это значит, что решение о том, чтобы списать нужную сумму со счета гражданина, может приниматься в автоматическом режиме. И для этого даже не нужно подтверждение от сотрудника ведомства. То есть фамилия пристава все равно </w:t>
      </w:r>
      <w:r w:rsidRPr="00397EEA">
        <w:lastRenderedPageBreak/>
        <w:t>присутствует в документе, но сам он, по сути, не участвует в таком процессе. И это относится к пенсиям, зарплатам или другим выплатам, которые являются доходом человека.</w:t>
      </w:r>
    </w:p>
    <w:p w14:paraId="67243EC7" w14:textId="77777777" w:rsidR="00117B8B" w:rsidRPr="00397EEA" w:rsidRDefault="00117B8B" w:rsidP="00117B8B">
      <w:r w:rsidRPr="00397EEA">
        <w:t>По установленным правилам, из пенсий россиян приставы могут списывать до 70 процентов от общей суммы при наличии определенных долгов и обстоятельств. Но одновременно с этим работает правило, что должнику должны оставить на счете не менее прожиточного минимума.</w:t>
      </w:r>
    </w:p>
    <w:p w14:paraId="74894BD4" w14:textId="77777777" w:rsidR="00117B8B" w:rsidRPr="00397EEA" w:rsidRDefault="00117B8B" w:rsidP="00117B8B">
      <w:r w:rsidRPr="00397EEA">
        <w:t>В этом году минимум составляет 16 844 рубля на федеральном уровне. А средний размер пенсии в России, по данным Минтруда, равен 23 405 рублям. Это значит, что из пенсии могут вычесть в среднем 6561 рубль. И многих такое изменение ждет уже в сентябре при наличии долгов и если человек числится в списках у приставов.</w:t>
      </w:r>
    </w:p>
    <w:p w14:paraId="522F07AA" w14:textId="77777777" w:rsidR="00117B8B" w:rsidRPr="00397EEA" w:rsidRDefault="00997114" w:rsidP="00117B8B">
      <w:hyperlink r:id="rId30" w:history="1">
        <w:r w:rsidR="00117B8B" w:rsidRPr="00397EEA">
          <w:rPr>
            <w:rStyle w:val="a3"/>
          </w:rPr>
          <w:t>https://primpress.ru/article/115440</w:t>
        </w:r>
      </w:hyperlink>
    </w:p>
    <w:p w14:paraId="7145E424" w14:textId="77777777" w:rsidR="00D2735E" w:rsidRPr="00397EEA" w:rsidRDefault="00D2735E" w:rsidP="00D2735E">
      <w:pPr>
        <w:pStyle w:val="2"/>
      </w:pPr>
      <w:bookmarkStart w:id="107" w:name="_Toc175897242"/>
      <w:r w:rsidRPr="00397EEA">
        <w:t xml:space="preserve">PRIMPRESS, 29.08.2024, </w:t>
      </w:r>
      <w:r w:rsidR="00397EEA">
        <w:t>«</w:t>
      </w:r>
      <w:r w:rsidRPr="00397EEA">
        <w:t>Придется платить</w:t>
      </w:r>
      <w:r w:rsidR="00397EEA">
        <w:t>»</w:t>
      </w:r>
      <w:r w:rsidRPr="00397EEA">
        <w:t>. Озвучены налоги, которые будут взимать с пенсионеров</w:t>
      </w:r>
      <w:bookmarkEnd w:id="107"/>
    </w:p>
    <w:p w14:paraId="214E1BB0" w14:textId="77777777" w:rsidR="00D2735E" w:rsidRPr="00397EEA" w:rsidRDefault="00D2735E" w:rsidP="00CB047E">
      <w:pPr>
        <w:pStyle w:val="3"/>
      </w:pPr>
      <w:bookmarkStart w:id="108" w:name="_Toc175897243"/>
      <w:r w:rsidRPr="00397EEA">
        <w:t>ФНС начала уведомлять пенсионеров о том, какие налоги им придется заплатить в 2024 году. О перечне выплат, от которых не освобождают пожилых россиян, в своем Telegram-канале рассказала юрист Ирина Сивакова, сообщает PRIMPRESS.</w:t>
      </w:r>
      <w:bookmarkEnd w:id="108"/>
    </w:p>
    <w:p w14:paraId="4C88E3E9" w14:textId="77777777" w:rsidR="00D2735E" w:rsidRPr="00397EEA" w:rsidRDefault="00D2735E" w:rsidP="00D2735E">
      <w:r w:rsidRPr="00397EEA">
        <w:t>Согласно опубликованной информации, россияне пенсионного и предпенсионного возраста не освобождены минимум от четырех видов налогов.</w:t>
      </w:r>
    </w:p>
    <w:p w14:paraId="3A9C4B98" w14:textId="77777777" w:rsidR="00D2735E" w:rsidRPr="00397EEA" w:rsidRDefault="00D2735E" w:rsidP="00D2735E">
      <w:r w:rsidRPr="00397EEA">
        <w:t>Так, например, пожилые россияне не освобождены от НДФЛ на проценты, полученные по банковским вкладам и счетам в 2023 году. По этой части не предусмотрены льготы, а потому они должны заплатить 13% от суммы процентов, полученных от банков в 2023 году, не превышающую облагаемую налогом величину (в 2023 это 150 тысяч рублей).</w:t>
      </w:r>
    </w:p>
    <w:p w14:paraId="190CD9EB" w14:textId="77777777" w:rsidR="00D2735E" w:rsidRPr="00397EEA" w:rsidRDefault="00D2735E" w:rsidP="00D2735E">
      <w:r w:rsidRPr="00397EEA">
        <w:t>Также пенсионеры и предпенсионеры обязаны оплатить НДФЛ на другие доходы, с которых не был удержан налог. Например, при получении от организации денег, с которых не был вычтен НДФЛ, гражданин обязану заплатить его самостоятельно. ФНС добавит нужную сумму к уплате в общем уведомлении вместе с остальными налогами, которые нужно будет заплатить до 2 декабря 2024 года.</w:t>
      </w:r>
    </w:p>
    <w:p w14:paraId="1D10BBBA" w14:textId="77777777" w:rsidR="00D2735E" w:rsidRPr="00397EEA" w:rsidRDefault="00D2735E" w:rsidP="00D2735E">
      <w:r w:rsidRPr="00397EEA">
        <w:t>В этот список входит и налог на имущество, не включенное в льготный перечень, а именно на:</w:t>
      </w:r>
    </w:p>
    <w:p w14:paraId="25FEA09E" w14:textId="77777777" w:rsidR="00D2735E" w:rsidRPr="00397EEA" w:rsidRDefault="00D2735E" w:rsidP="00D2735E">
      <w:r w:rsidRPr="00397EEA">
        <w:t xml:space="preserve">    вторую и последующуквартиру, дом, гараж или машино-место, хозпостройку на личном участке, которые, по сведениям ЕГРН, принадлежит пенсионеру;</w:t>
      </w:r>
    </w:p>
    <w:p w14:paraId="3464A344" w14:textId="77777777" w:rsidR="00D2735E" w:rsidRPr="00397EEA" w:rsidRDefault="00D2735E" w:rsidP="00D2735E">
      <w:r w:rsidRPr="00397EEA">
        <w:t xml:space="preserve">    земельный участок, площадь которого превышает 600 квадратных метров (могут быть исключения, так как пенсионеры и предпенсионеры не платят налог только на участок в 6 соток);</w:t>
      </w:r>
    </w:p>
    <w:p w14:paraId="13D847B0" w14:textId="77777777" w:rsidR="00D2735E" w:rsidRPr="00397EEA" w:rsidRDefault="00D2735E" w:rsidP="00D2735E">
      <w:r w:rsidRPr="00397EEA">
        <w:t xml:space="preserve">    хозпостройку на личном земельном участке, если ее площадь превышает 50 квадратных метров;</w:t>
      </w:r>
    </w:p>
    <w:p w14:paraId="6B42F890" w14:textId="77777777" w:rsidR="00D2735E" w:rsidRPr="00397EEA" w:rsidRDefault="00D2735E" w:rsidP="00D2735E">
      <w:r w:rsidRPr="00397EEA">
        <w:t xml:space="preserve">    помещение, которое значится в ЕГРН как нежилое;</w:t>
      </w:r>
    </w:p>
    <w:p w14:paraId="03468D0D" w14:textId="77777777" w:rsidR="00D2735E" w:rsidRPr="00397EEA" w:rsidRDefault="00D2735E" w:rsidP="00D2735E">
      <w:r w:rsidRPr="00397EEA">
        <w:lastRenderedPageBreak/>
        <w:t xml:space="preserve">    недвижимое имущество, которое используется в предпринимательской деятельности;</w:t>
      </w:r>
    </w:p>
    <w:p w14:paraId="449DCC04" w14:textId="77777777" w:rsidR="00D2735E" w:rsidRPr="00397EEA" w:rsidRDefault="00D2735E" w:rsidP="00D2735E">
      <w:r w:rsidRPr="00397EEA">
        <w:t>Также предусмотрен налог на имущество, включенное в льготный перечень, для граждан, ставших пенсионерами и предпенсионерами в 2023 году. При этом налог начисляется только за те месяцы, когда льготы у человека еще не было. Исключение – граждане, которые стали пенсионерами или предпенсионерами ровно 1 января 2023 года.</w:t>
      </w:r>
    </w:p>
    <w:p w14:paraId="74A89A4E" w14:textId="77777777" w:rsidR="00D2735E" w:rsidRPr="00397EEA" w:rsidRDefault="00D2735E" w:rsidP="00D2735E">
      <w:r w:rsidRPr="00397EEA">
        <w:t>Уточняется, что оплатить все эти налоги нужно до 2 декабря 2024 года.</w:t>
      </w:r>
    </w:p>
    <w:p w14:paraId="0334A5EA" w14:textId="77777777" w:rsidR="00117B8B" w:rsidRPr="00397EEA" w:rsidRDefault="00997114" w:rsidP="00D2735E">
      <w:hyperlink r:id="rId31" w:history="1">
        <w:r w:rsidR="00D2735E" w:rsidRPr="00397EEA">
          <w:rPr>
            <w:rStyle w:val="a3"/>
          </w:rPr>
          <w:t>https://primpress.ru/article/115476</w:t>
        </w:r>
      </w:hyperlink>
    </w:p>
    <w:p w14:paraId="15CDB3FD" w14:textId="77777777" w:rsidR="00D2735E" w:rsidRPr="00397EEA" w:rsidRDefault="00D2735E" w:rsidP="00D2735E">
      <w:pPr>
        <w:pStyle w:val="2"/>
      </w:pPr>
      <w:bookmarkStart w:id="109" w:name="_Toc175897244"/>
      <w:r w:rsidRPr="00397EEA">
        <w:t>DEITA.ru, 29.08.2024, Что стоит сделать пенсионерам с 1953 по 1966 год рождения</w:t>
      </w:r>
      <w:bookmarkEnd w:id="109"/>
    </w:p>
    <w:p w14:paraId="0F7EAA50" w14:textId="77777777" w:rsidR="00D2735E" w:rsidRPr="00397EEA" w:rsidRDefault="00D2735E" w:rsidP="00CB047E">
      <w:pPr>
        <w:pStyle w:val="3"/>
      </w:pPr>
      <w:bookmarkStart w:id="110" w:name="_Toc175897245"/>
      <w:r w:rsidRPr="00397EEA">
        <w:t>Представителям старшего поколения стоит уточнить свой пенсионный статус и проверить наличие оснований для повышения ежемесячных выплат. Такой совет пожилым гражданам дала юрист Натали Феофанова, сообщает ИА DEITA.RU.</w:t>
      </w:r>
      <w:bookmarkEnd w:id="110"/>
    </w:p>
    <w:p w14:paraId="0958686D" w14:textId="77777777" w:rsidR="00D2735E" w:rsidRPr="00397EEA" w:rsidRDefault="00D2735E" w:rsidP="00D2735E">
      <w:r w:rsidRPr="00397EEA">
        <w:t>Как объяснила эксперт, в особенности это стоит сделать мужчинам 1953-1966 и женщинам 1957-1966 годов рождения. По словам специалиста, такие граждане входят в категорию лиц, которые могут воспользоваться правом на получение единовременной денежной выплаты.</w:t>
      </w:r>
    </w:p>
    <w:p w14:paraId="1FAADB44" w14:textId="77777777" w:rsidR="00D2735E" w:rsidRPr="00397EEA" w:rsidRDefault="00D2735E" w:rsidP="00D2735E">
      <w:r w:rsidRPr="00397EEA">
        <w:t>Речь идёт только о тех пенсионерах, за которых с 2002 по 2004 годы уплачивались страховые взносы на накопительную часть трудовой пенсии. Как пояснила юрист, для граждан 1966 года рождения и старше размер разовой выплаты может составить от 1200 рублей.</w:t>
      </w:r>
    </w:p>
    <w:p w14:paraId="78AA85FC" w14:textId="77777777" w:rsidR="00D2735E" w:rsidRPr="00397EEA" w:rsidRDefault="00D2735E" w:rsidP="00D2735E">
      <w:r w:rsidRPr="00397EEA">
        <w:t>При этом, как отметила эксперт, большинству таких заявителей пенсионные накопления могут быть выплачены единовременно, поскольку накопительная часть их пенсии не превышает 5% от общего размера пенсии.</w:t>
      </w:r>
    </w:p>
    <w:p w14:paraId="40E2FCEC" w14:textId="77777777" w:rsidR="00D2735E" w:rsidRPr="00397EEA" w:rsidRDefault="00D2735E" w:rsidP="00D2735E">
      <w:r w:rsidRPr="00397EEA">
        <w:t>Также среди пенсионеров 1953-1966 годов рождения могут оказаться участники программы государственного софинансирования пенсии. Средний размер единовременной выплаты для них составляет около 7,3 тысяч рублей.</w:t>
      </w:r>
    </w:p>
    <w:p w14:paraId="5F0DC49F" w14:textId="77777777" w:rsidR="00D2735E" w:rsidRPr="00397EEA" w:rsidRDefault="00997114" w:rsidP="00D2735E">
      <w:hyperlink r:id="rId32" w:history="1">
        <w:r w:rsidR="00D2735E" w:rsidRPr="00397EEA">
          <w:rPr>
            <w:rStyle w:val="a3"/>
          </w:rPr>
          <w:t>https://deita.ru/article/557398</w:t>
        </w:r>
      </w:hyperlink>
    </w:p>
    <w:p w14:paraId="2E3CEE44" w14:textId="77777777" w:rsidR="00B2609C" w:rsidRPr="00397EEA" w:rsidRDefault="00B2609C" w:rsidP="00B2609C">
      <w:pPr>
        <w:pStyle w:val="2"/>
      </w:pPr>
      <w:bookmarkStart w:id="111" w:name="_Toc175897246"/>
      <w:r w:rsidRPr="00397EEA">
        <w:t>Адвокатская газета, 29.08.2024, Правила расчета страховых пенсий с 2026 года изменятся - подробности</w:t>
      </w:r>
      <w:bookmarkEnd w:id="111"/>
    </w:p>
    <w:p w14:paraId="728D6CC2" w14:textId="77777777" w:rsidR="00B2609C" w:rsidRPr="00397EEA" w:rsidRDefault="00B2609C" w:rsidP="00CB047E">
      <w:pPr>
        <w:pStyle w:val="3"/>
      </w:pPr>
      <w:bookmarkStart w:id="112" w:name="_Toc175897247"/>
      <w:r w:rsidRPr="00397EEA">
        <w:t>Усталость от бесконечных перемен в пенсионной системе ощущают все. И вот, Минтруд решил внести новые поправки. Посмотрим, станут ли они полезными для пенсионеров или лишь создадут дополнительные вопросы.</w:t>
      </w:r>
      <w:bookmarkEnd w:id="112"/>
    </w:p>
    <w:p w14:paraId="36924850" w14:textId="77777777" w:rsidR="00B2609C" w:rsidRPr="00397EEA" w:rsidRDefault="00B2609C" w:rsidP="00B2609C">
      <w:r w:rsidRPr="00397EEA">
        <w:t>Минтруд предложил изменить правила расчета страховых пенсий и информирования граждан об их размерах. В министерстве утверждают, что цель изменений — решение ключевых социальных задач.</w:t>
      </w:r>
    </w:p>
    <w:p w14:paraId="24ECE607" w14:textId="77777777" w:rsidR="00B2609C" w:rsidRPr="00397EEA" w:rsidRDefault="00B2609C" w:rsidP="00B2609C">
      <w:r w:rsidRPr="00397EEA">
        <w:lastRenderedPageBreak/>
        <w:t xml:space="preserve">Первое нововведение касается так называемых </w:t>
      </w:r>
      <w:r w:rsidR="00397EEA">
        <w:t>«</w:t>
      </w:r>
      <w:r w:rsidRPr="00397EEA">
        <w:t>нестраховых периодов</w:t>
      </w:r>
      <w:r w:rsidR="00397EEA">
        <w:t>»</w:t>
      </w:r>
      <w:r w:rsidRPr="00397EEA">
        <w:t>. Ранее они не учитывались после назначения пенсии, но теперь их планируют учитывать. Это затронет, например, женщин, которые получили пенсию по инвалидности, а затем родили ребёнка или ухаживали за ним.</w:t>
      </w:r>
    </w:p>
    <w:p w14:paraId="2F416087" w14:textId="77777777" w:rsidR="00B2609C" w:rsidRPr="00397EEA" w:rsidRDefault="00397EEA" w:rsidP="00B2609C">
      <w:r>
        <w:t>«</w:t>
      </w:r>
      <w:r w:rsidR="00B2609C" w:rsidRPr="00397EEA">
        <w:t>В практике территориальных органах СФР есть случаи, когда пенсионеры просят пересчитать страховую пенсию с учетом периодов после её назначения. По действующему закону это невозможно</w:t>
      </w:r>
      <w:r>
        <w:t>»</w:t>
      </w:r>
      <w:r w:rsidR="00B2609C" w:rsidRPr="00397EEA">
        <w:t>, — уточняется в пояснительной записке.</w:t>
      </w:r>
    </w:p>
    <w:p w14:paraId="7A20E78B" w14:textId="77777777" w:rsidR="00B2609C" w:rsidRPr="00397EEA" w:rsidRDefault="00B2609C" w:rsidP="00B2609C">
      <w:r w:rsidRPr="00397EEA">
        <w:t xml:space="preserve">Эти </w:t>
      </w:r>
      <w:r w:rsidR="00397EEA">
        <w:t>«</w:t>
      </w:r>
      <w:r w:rsidRPr="00397EEA">
        <w:t>нестраховые периоды</w:t>
      </w:r>
      <w:r w:rsidR="00397EEA">
        <w:t>»</w:t>
      </w:r>
      <w:r w:rsidRPr="00397EEA">
        <w:t xml:space="preserve"> — гарантии государственной социальной поддержки. Теперь они войдут в стаж, что позволит некоторым пенсионерам получать более значительные выплаты.</w:t>
      </w:r>
    </w:p>
    <w:p w14:paraId="5B5FAACB" w14:textId="77777777" w:rsidR="00B2609C" w:rsidRPr="00397EEA" w:rsidRDefault="00B2609C" w:rsidP="00B2609C">
      <w:r w:rsidRPr="00397EEA">
        <w:t>Второй важный аспект законопроекта — это информирование о будущей пенсии. С 1 января 2026 года Социальный фонд начнет оповещать предпенсионеров о суммах, на которые они могут рассчитывать. Однако остается вопрос, насколько точной будет эта информация и не изменятся ли опять правила.</w:t>
      </w:r>
    </w:p>
    <w:p w14:paraId="00280BC9" w14:textId="77777777" w:rsidR="00B2609C" w:rsidRPr="00397EEA" w:rsidRDefault="00B2609C" w:rsidP="00B2609C">
      <w:r w:rsidRPr="00397EEA">
        <w:t>На первый взгляд инициатива демонстрирует заботу о пенсионерах. Но стоит подумать, кому и насколько она поможет. Женщины, ухаживающие за детьми и уже вышедшие на пенсию, действительно выиграют. Но кто еще сможет воспользоваться этими изменениями?</w:t>
      </w:r>
    </w:p>
    <w:p w14:paraId="1B58CFED" w14:textId="77777777" w:rsidR="00B2609C" w:rsidRPr="00397EEA" w:rsidRDefault="00B2609C" w:rsidP="00B2609C">
      <w:r w:rsidRPr="00397EEA">
        <w:t>Кроме того, важно помнить о возможных подводных камнях. Как начнут действовать новые правила на практике? Потребуются ли дополнительные документы и насколько сложно будет оформить перерасчет?</w:t>
      </w:r>
    </w:p>
    <w:p w14:paraId="392D6987" w14:textId="77777777" w:rsidR="00D2735E" w:rsidRPr="00397EEA" w:rsidRDefault="00997114" w:rsidP="00B2609C">
      <w:hyperlink r:id="rId33" w:history="1">
        <w:r w:rsidR="00B2609C" w:rsidRPr="00397EEA">
          <w:rPr>
            <w:rStyle w:val="a3"/>
          </w:rPr>
          <w:t>https://yur-gazeta.ru/ekonomika/pravila-rascheta-straxovyx-pensij-s-2026-goda-izmenyatsya-podrobnosti.html</w:t>
        </w:r>
      </w:hyperlink>
    </w:p>
    <w:p w14:paraId="1E362B46" w14:textId="77777777" w:rsidR="00111D7C" w:rsidRPr="00397EEA" w:rsidRDefault="00111D7C" w:rsidP="00111D7C">
      <w:pPr>
        <w:pStyle w:val="251"/>
      </w:pPr>
      <w:bookmarkStart w:id="113" w:name="_Toc99271704"/>
      <w:bookmarkStart w:id="114" w:name="_Toc99318656"/>
      <w:bookmarkStart w:id="115" w:name="_Toc165991076"/>
      <w:bookmarkStart w:id="116" w:name="_Toc175897248"/>
      <w:bookmarkStart w:id="117" w:name="_Toc62681899"/>
      <w:bookmarkEnd w:id="25"/>
      <w:bookmarkEnd w:id="26"/>
      <w:bookmarkEnd w:id="27"/>
      <w:bookmarkEnd w:id="54"/>
      <w:r w:rsidRPr="00397EEA">
        <w:lastRenderedPageBreak/>
        <w:t>НОВОСТИ МАКРОЭКОНОМИКИ</w:t>
      </w:r>
      <w:bookmarkEnd w:id="113"/>
      <w:bookmarkEnd w:id="114"/>
      <w:bookmarkEnd w:id="115"/>
      <w:bookmarkEnd w:id="116"/>
    </w:p>
    <w:p w14:paraId="1F26DDFF" w14:textId="77777777" w:rsidR="00046CCA" w:rsidRPr="00397EEA" w:rsidRDefault="00046CCA" w:rsidP="00726F8C">
      <w:pPr>
        <w:pStyle w:val="2"/>
      </w:pPr>
      <w:bookmarkStart w:id="118" w:name="_Toc175897249"/>
      <w:bookmarkStart w:id="119" w:name="_Hlk175897080"/>
      <w:r w:rsidRPr="00397EEA">
        <w:t xml:space="preserve">Ведомости, 30.08.2024, Яков </w:t>
      </w:r>
      <w:r w:rsidR="00726F8C" w:rsidRPr="00397EEA">
        <w:t>ТИМАКОВ</w:t>
      </w:r>
      <w:r w:rsidRPr="00397EEA">
        <w:t xml:space="preserve">, Анастасия </w:t>
      </w:r>
      <w:r w:rsidR="00726F8C" w:rsidRPr="00397EEA">
        <w:t>БОЙКО</w:t>
      </w:r>
      <w:r w:rsidRPr="00397EEA">
        <w:t>, ЦБ представил сценарии замедления и разгона инфляции</w:t>
      </w:r>
      <w:bookmarkEnd w:id="118"/>
    </w:p>
    <w:p w14:paraId="311F30A4" w14:textId="77777777" w:rsidR="00046CCA" w:rsidRPr="00397EEA" w:rsidRDefault="00046CCA" w:rsidP="00CB047E">
      <w:pPr>
        <w:pStyle w:val="3"/>
      </w:pPr>
      <w:bookmarkStart w:id="120" w:name="_Toc175897250"/>
      <w:r w:rsidRPr="00397EEA">
        <w:t xml:space="preserve">ЦБ представил четыре сценария развития экономической ситуации в России: базовый, оптимистичный </w:t>
      </w:r>
      <w:r w:rsidR="00397EEA">
        <w:t>«</w:t>
      </w:r>
      <w:r w:rsidRPr="00397EEA">
        <w:t>дезинфляционный (выше потенциал)</w:t>
      </w:r>
      <w:r w:rsidR="00397EEA">
        <w:t>»</w:t>
      </w:r>
      <w:r w:rsidRPr="00397EEA">
        <w:t xml:space="preserve"> и два неблагоприятных - </w:t>
      </w:r>
      <w:r w:rsidR="00397EEA">
        <w:t>«</w:t>
      </w:r>
      <w:r w:rsidRPr="00397EEA">
        <w:t>проинфляционный (выше спрос)</w:t>
      </w:r>
      <w:r w:rsidR="00397EEA">
        <w:t>»</w:t>
      </w:r>
      <w:r w:rsidRPr="00397EEA">
        <w:t xml:space="preserve"> и </w:t>
      </w:r>
      <w:r w:rsidR="00397EEA">
        <w:t>«</w:t>
      </w:r>
      <w:r w:rsidRPr="00397EEA">
        <w:t>рисковый (глобальный кризис)</w:t>
      </w:r>
      <w:r w:rsidR="00397EEA">
        <w:t>»</w:t>
      </w:r>
      <w:r w:rsidRPr="00397EEA">
        <w:t xml:space="preserve">. Прогнозы регулятор представил в проекте </w:t>
      </w:r>
      <w:r w:rsidR="00397EEA">
        <w:t>«</w:t>
      </w:r>
      <w:r w:rsidRPr="00397EEA">
        <w:t>Основных направлений единой государственной денежно-кредитной политики на 2025-2027 гг.</w:t>
      </w:r>
      <w:r w:rsidR="00397EEA">
        <w:t>»</w:t>
      </w:r>
      <w:r w:rsidRPr="00397EEA">
        <w:t>. Это один из основных системных документов Банка России.</w:t>
      </w:r>
      <w:bookmarkEnd w:id="120"/>
    </w:p>
    <w:p w14:paraId="1499D57A" w14:textId="77777777" w:rsidR="00046CCA" w:rsidRPr="00397EEA" w:rsidRDefault="00046CCA" w:rsidP="00046CCA">
      <w:r w:rsidRPr="00397EEA">
        <w:t>Базовый сценарий не предполагает значительного изменения геополитических условий до конца прогнозного горизонта, ситуация будет развиваться по текущим трендам и без новых шоков, говорится в докладе. Введенные внешние ограничения на российский экспорт, импорт, инвестиционное и технологическое сотрудничество на среднесрочном горизонте сохраняются.</w:t>
      </w:r>
    </w:p>
    <w:p w14:paraId="6C9F7140" w14:textId="77777777" w:rsidR="00046CCA" w:rsidRPr="00397EEA" w:rsidRDefault="00046CCA" w:rsidP="00046CCA">
      <w:r w:rsidRPr="00397EEA">
        <w:t>Согласно этому сценарию, ВВП в 2024 г. вырастет на 3,5-4%, а в 2025-2026 гг. рост замедлится до 0,5-1,5% и 1-2% соответственно. Это будет связано с более жесткими денежно-кредитными условиями на всем прогнозном горизонте. В 2027 г. показатель составит 1,5-2,5%, что означает возвращение экономики к сбалансированному росту, пишет ЦБ.</w:t>
      </w:r>
    </w:p>
    <w:p w14:paraId="3BC88C7A" w14:textId="77777777" w:rsidR="00046CCA" w:rsidRPr="00397EEA" w:rsidRDefault="00046CCA" w:rsidP="00046CCA">
      <w:r w:rsidRPr="00397EEA">
        <w:t>По данным Минэка, в июле рост ВВП ускорился до 3,4% в годовом выражении после 3% в июне. За январь - июль 2024 г. министерство оценило увеличение экономики в 4,4%. За полугодие ВВП вырос на 4,6%, следует из данных Росстата.</w:t>
      </w:r>
    </w:p>
    <w:p w14:paraId="17C1F146" w14:textId="77777777" w:rsidR="00046CCA" w:rsidRPr="00397EEA" w:rsidRDefault="00046CCA" w:rsidP="00046CCA">
      <w:r w:rsidRPr="00397EEA">
        <w:t>Инфляция по итогам 2024 г. сложится в диапазоне 6,5-7%, следует из базового прогноза ЦБ. Основным фактором повышенного ценового давления остается рост спроса, опережающий возможности расширения производства, повторяет свой тезис ЦБ. Существенным фактором увеличения издержек производителей в последние месяцы был рост зарплат и транзакционных издержек, в том числе за счет поиска новых поставщиков и переориентации поставок, говорится в документе.</w:t>
      </w:r>
    </w:p>
    <w:p w14:paraId="0651D2D0" w14:textId="77777777" w:rsidR="00046CCA" w:rsidRPr="00397EEA" w:rsidRDefault="00046CCA" w:rsidP="00046CCA">
      <w:r w:rsidRPr="00397EEA">
        <w:t>По данным Минэка, на 26 августа инфляция в годовом выражении составила 9,01%.</w:t>
      </w:r>
    </w:p>
    <w:p w14:paraId="0C113AE0" w14:textId="77777777" w:rsidR="00046CCA" w:rsidRPr="00397EEA" w:rsidRDefault="00046CCA" w:rsidP="00046CCA">
      <w:r w:rsidRPr="00397EEA">
        <w:t>С учетом проводимой денежно-кредитной политики (ДКП) годовая инфляция снизится до 4-4,5% в 2025 г. и будет находиться вблизи 4% в дальнейшем, ожидает ЦБ. Среднегодовая ключевая ставка в базовом сценарии будет на уровне 16,9-17,4% в этом году и опустится до 14-16% в следующем. В 2026 г. ставка останется двузначной - 10-11%, а в 2027 г. снизится до 7,5-8,5%.</w:t>
      </w:r>
    </w:p>
    <w:p w14:paraId="0C0C5787" w14:textId="77777777" w:rsidR="00046CCA" w:rsidRPr="00397EEA" w:rsidRDefault="00046CCA" w:rsidP="00046CCA">
      <w:r w:rsidRPr="00397EEA">
        <w:t>Минэк в базовом сценарии прогноза, подготовленного в апреле (в сентябре он будет обновлен), ожидает увеличения ВВП в 2024 г. на 2,8%, в 2025 г. на 2,3%, в 2026 г. на 2,3%, в 2027 г. на 2,4%.</w:t>
      </w:r>
    </w:p>
    <w:p w14:paraId="508699B4" w14:textId="77777777" w:rsidR="00046CCA" w:rsidRPr="00397EEA" w:rsidRDefault="00046CCA" w:rsidP="00046CCA">
      <w:r w:rsidRPr="00397EEA">
        <w:t>Выше спрос</w:t>
      </w:r>
    </w:p>
    <w:p w14:paraId="56C3690E" w14:textId="77777777" w:rsidR="00046CCA" w:rsidRPr="00397EEA" w:rsidRDefault="00046CCA" w:rsidP="00046CCA">
      <w:r w:rsidRPr="00397EEA">
        <w:lastRenderedPageBreak/>
        <w:t>Среди альтернативных более вероятным представляется проинфляционный сценарий, отмечает ЦБ. Ключевые вводные этого сценария - повышение расходов бюджета на льготные программы кредитования, сохранение высокого спроса на 2025 г. и продолжение гонки зарплат в борьбе за сотрудников, которую придется совмещать с расширением производственных возможностей. Импорт в этих условиях, согласно ожиданиям ЦБ, будет скован повышением тарифов - итогом может стать дефицит зарубежных товаров и услуг.</w:t>
      </w:r>
    </w:p>
    <w:p w14:paraId="21A20FAF" w14:textId="77777777" w:rsidR="00046CCA" w:rsidRPr="00397EEA" w:rsidRDefault="00046CCA" w:rsidP="00046CCA">
      <w:r w:rsidRPr="00397EEA">
        <w:t xml:space="preserve">Совокупность этих факторов существенно нарастит инфляционное давление, заключает регулятор, и в таком случае придется действовать </w:t>
      </w:r>
      <w:r w:rsidR="00397EEA">
        <w:t>«</w:t>
      </w:r>
      <w:r w:rsidRPr="00397EEA">
        <w:t>еще более решительно, чтобы вернуть инфляцию к цели</w:t>
      </w:r>
      <w:r w:rsidR="00397EEA">
        <w:t>»</w:t>
      </w:r>
      <w:r w:rsidRPr="00397EEA">
        <w:t>. При ее возрастании до 5-5,5% в 2025 г. ставку придется удерживать примерно на том же уровне, что и сейчас (16-18%), но уже к 2027 г. она прогнозируется в диапазоне 8,5-9,5%.</w:t>
      </w:r>
    </w:p>
    <w:p w14:paraId="61407EFE" w14:textId="77777777" w:rsidR="00046CCA" w:rsidRPr="00397EEA" w:rsidRDefault="00046CCA" w:rsidP="00046CCA">
      <w:r w:rsidRPr="00397EEA">
        <w:t xml:space="preserve">Экономику на горизонте трех лет в проинфляционном сценарии ждет стагнация (0-0,1% ВВП в 2026 г.), а возвращение к росту произойдет не раньше чем спустя год, считают в ЦБ: </w:t>
      </w:r>
      <w:r w:rsidR="00397EEA">
        <w:t>«</w:t>
      </w:r>
      <w:r w:rsidRPr="00397EEA">
        <w:t>Это означает, что более высокая доля расходов на льготные программы приведет лишь к росту инфляции, но не выпуска в экономике</w:t>
      </w:r>
      <w:r w:rsidR="00397EEA">
        <w:t>»</w:t>
      </w:r>
      <w:r w:rsidRPr="00397EEA">
        <w:t>.</w:t>
      </w:r>
    </w:p>
    <w:p w14:paraId="0254CEFD" w14:textId="77777777" w:rsidR="00046CCA" w:rsidRPr="00397EEA" w:rsidRDefault="00046CCA" w:rsidP="00046CCA">
      <w:r w:rsidRPr="00397EEA">
        <w:t>Глобальный кризис</w:t>
      </w:r>
    </w:p>
    <w:p w14:paraId="0A9564EE" w14:textId="77777777" w:rsidR="00046CCA" w:rsidRPr="00397EEA" w:rsidRDefault="00046CCA" w:rsidP="00046CCA">
      <w:r w:rsidRPr="00397EEA">
        <w:t xml:space="preserve">Главным фактором </w:t>
      </w:r>
      <w:r w:rsidR="00397EEA">
        <w:t>«</w:t>
      </w:r>
      <w:r w:rsidRPr="00397EEA">
        <w:t>рискового</w:t>
      </w:r>
      <w:r w:rsidR="00397EEA">
        <w:t>»</w:t>
      </w:r>
      <w:r w:rsidRPr="00397EEA">
        <w:t xml:space="preserve"> сценария станет значительное ухудшение внешних условий. Ужесточение ДКП в мире ЦБ называет одним из самых быстрых в истории. Регулятор отсылает к наблюдению за тем, как стремительно в предыдущие два года развитые страны поднимали ставки, находившиеся на околонулевых значениях порядка 15 лет, и опасается наступления мирового финансового кризиса, сравнимого по масштабам с происходившим в 2008 г. По прогнозам Банка России, он может начать проявляться в I квартале 2025 г., а на рубеже II и III кварталов выйдет на пик. Мрачные ожидания дополняются риском ухудшения отношений между Китаем и США, которое может усилить деглобализацию, а она, в свою очередь, снизит факторную производительность и усилит инфляцию.</w:t>
      </w:r>
    </w:p>
    <w:p w14:paraId="204DA79A" w14:textId="77777777" w:rsidR="00046CCA" w:rsidRPr="00397EEA" w:rsidRDefault="00046CCA" w:rsidP="00046CCA">
      <w:r w:rsidRPr="00397EEA">
        <w:t>Среди ключевых составляющих сценария глобального кризиса ЦБ перечисляет резкое падение глобального спроса, падение цен на нефть, усиление санкционного давления на Россию (и, как следствие, расширение дисконта на экспорт), а также исчерпание ФНБ к 2025 г. По мере того как нефть будет дешеветь, регулятор не исключает пересмотра бюджетного правила, где базовая цена на нефть будет составлять $40 за баррель вместо нынешних $60.</w:t>
      </w:r>
    </w:p>
    <w:p w14:paraId="5E237EB3" w14:textId="77777777" w:rsidR="00046CCA" w:rsidRPr="00397EEA" w:rsidRDefault="00046CCA" w:rsidP="00046CCA">
      <w:r w:rsidRPr="00397EEA">
        <w:t>Все это приведет к снижению ВВП на 3-4% в 2025 г. и на 1-2% в 2026 г. Бюджетная поддержка, хоть и расширится, будет меньше, чем в пандемийном 2020 году и 2022-2023 гг., когда Россия преодолевала санкционные шоки. Но в 2027 г. экономика, по оценке ЦБ, должна начать восстановление и ВВП вернется к росту на 2-3%.</w:t>
      </w:r>
    </w:p>
    <w:p w14:paraId="12C079BA" w14:textId="77777777" w:rsidR="00046CCA" w:rsidRPr="00397EEA" w:rsidRDefault="00046CCA" w:rsidP="00046CCA">
      <w:r w:rsidRPr="00397EEA">
        <w:t>Ставку между тем придется существенно поднимать - до 22%, таков прогноз Банка России на 2025 г., с учетом того что инфляция в первый кризисный год вырастет до 13-15%. В 2026 г., согласно ожиданиям регулятора в рисковом сценарии, средний уровень ключевой ставки составит 15-16%, а к завершению прогнозного периода она вернется к нейтральному диапазону, что позволит работать над возвращением инфляции к цели в 4% в 2027 г.</w:t>
      </w:r>
    </w:p>
    <w:p w14:paraId="7D0A8485" w14:textId="77777777" w:rsidR="00046CCA" w:rsidRPr="00397EEA" w:rsidRDefault="00046CCA" w:rsidP="00046CCA">
      <w:r w:rsidRPr="00397EEA">
        <w:t>Оптимистичный сценарий</w:t>
      </w:r>
    </w:p>
    <w:p w14:paraId="178AEC1D" w14:textId="77777777" w:rsidR="00046CCA" w:rsidRPr="00397EEA" w:rsidRDefault="00046CCA" w:rsidP="00046CCA">
      <w:r w:rsidRPr="00397EEA">
        <w:lastRenderedPageBreak/>
        <w:t xml:space="preserve">В </w:t>
      </w:r>
      <w:r w:rsidR="00397EEA">
        <w:t>«</w:t>
      </w:r>
      <w:r w:rsidRPr="00397EEA">
        <w:t>дезинфляционном</w:t>
      </w:r>
      <w:r w:rsidR="00397EEA">
        <w:t>»</w:t>
      </w:r>
      <w:r w:rsidRPr="00397EEA">
        <w:t xml:space="preserve"> сценарии регулятор делает ставку на увеличение инвестиций в основной капитал и темпы прироста общей факторной производительности. За счет этого объем предложения существенно расширится и начнет покрывать повышенный внутренний спрос, отмечают в ЦБ. Следствием должно стать ослабление инфляции, а значит, и постепенное смягчение ДКП: ключевая ставка прогнозируется на уровне 12-14% в 2025 г. и 9-10% в 2026 г.</w:t>
      </w:r>
    </w:p>
    <w:p w14:paraId="4790C982" w14:textId="77777777" w:rsidR="00046CCA" w:rsidRPr="00397EEA" w:rsidRDefault="00046CCA" w:rsidP="00046CCA">
      <w:r w:rsidRPr="00397EEA">
        <w:t>Банк России подчеркивает: увеличение инвестиций по этому сценарию будет временным и продлится до 2027 г. - тогда по плану экономика и валовое накопление вернутся к сбалансированному росту. А именно если на следующие два года ЦБ закладывает ежегодный рост ВВП на 2-3%, то затем прогнозируется охлаждение до 1,5-2,5%.</w:t>
      </w:r>
    </w:p>
    <w:p w14:paraId="188F6A2E" w14:textId="77777777" w:rsidR="00046CCA" w:rsidRPr="00397EEA" w:rsidRDefault="00046CCA" w:rsidP="00046CCA">
      <w:r w:rsidRPr="00397EEA">
        <w:t>Кроме того, регулятор считает, что ускорение роста реальных зарплат в описываемом сценарии не станет проинфляционным фактором, поскольку пропорционально увеличится и производительность труда. Рост доходов россиян, напротив, должен расширить круг платежеспособных заемщиков и обеспечить активность кредитования. Точно так же и у компаний на фоне экономического подъема усилится спрос на заемные средства, полагает ЦБ. Таким образом, инфляция уже в 2025 г. вернется к цели в 4% и продержится на этом уровне вплоть до 2027 г. включительно.</w:t>
      </w:r>
    </w:p>
    <w:p w14:paraId="50E9140B" w14:textId="77777777" w:rsidR="00046CCA" w:rsidRPr="00397EEA" w:rsidRDefault="00046CCA" w:rsidP="00046CCA">
      <w:r w:rsidRPr="00397EEA">
        <w:t>Вероятность сценариев</w:t>
      </w:r>
    </w:p>
    <w:p w14:paraId="18B2BFB7" w14:textId="77777777" w:rsidR="00046CCA" w:rsidRPr="00397EEA" w:rsidRDefault="00046CCA" w:rsidP="00046CCA">
      <w:r w:rsidRPr="00397EEA">
        <w:t>Проинфляционный сценарий более вероятен, чем дезинфляционный, отметил на пресс-конференции зампред ЦБ Алексей Заботкин. В то же время вероятность рискового сценария наименьшая и даже ниже, чем оценивал ЦБ при подготовке прошлогодних основных направлений ДКП, добавил он. При этом реализация того или иного варианта зависит также от бюджетной политики, указал зампред.</w:t>
      </w:r>
    </w:p>
    <w:p w14:paraId="1C71A188" w14:textId="77777777" w:rsidR="00046CCA" w:rsidRPr="00397EEA" w:rsidRDefault="00046CCA" w:rsidP="00046CCA">
      <w:r w:rsidRPr="00397EEA">
        <w:t xml:space="preserve">Основные направления призваны продемонстрировать, что в любых условиях ЦБ сможет восстановить ценовую стабильность, подчеркнул Заботкин. По его словам, вопрос лишь в том, какая для этого потребуется траектория ключевой ставки и - с учетом лагов и шоков - сколько времени нужно, чтобы вернуть инфляцию к цели. Возможна ситуация, при которой инфляция замедляется и вслед за ней снижается ключевая ставка, признал он. Также возможен сценарий с </w:t>
      </w:r>
      <w:r w:rsidR="00397EEA">
        <w:t>«</w:t>
      </w:r>
      <w:r w:rsidRPr="00397EEA">
        <w:t>залипшей</w:t>
      </w:r>
      <w:r w:rsidR="00397EEA">
        <w:t>»</w:t>
      </w:r>
      <w:r w:rsidRPr="00397EEA">
        <w:t xml:space="preserve"> инфляцией, которой будет соответствовать более высокая траектория ключевой ставки, добавил Заботкин. В то же время </w:t>
      </w:r>
      <w:r w:rsidR="00397EEA">
        <w:t>«</w:t>
      </w:r>
      <w:r w:rsidRPr="00397EEA">
        <w:t>категорически невозможна</w:t>
      </w:r>
      <w:r w:rsidR="00397EEA">
        <w:t>»</w:t>
      </w:r>
      <w:r w:rsidRPr="00397EEA">
        <w:t xml:space="preserve"> ситуация, когда инфляция остается высокой, существенно выше цели, а ЦБ, несмотря на это, ставку снижает. </w:t>
      </w:r>
      <w:r w:rsidR="00397EEA">
        <w:t>«</w:t>
      </w:r>
      <w:r w:rsidRPr="00397EEA">
        <w:t>Eсть примеры стран, которые это сделали, известно, к чему это приводит. Точно не надо рассчитывать, что ЦБ России будет вести себя таким образом</w:t>
      </w:r>
      <w:r w:rsidR="00397EEA">
        <w:t>»</w:t>
      </w:r>
      <w:r w:rsidRPr="00397EEA">
        <w:t>, - указал Заботкин, вероятно имея в виду опыт Турции.</w:t>
      </w:r>
    </w:p>
    <w:p w14:paraId="4E4E8DE9" w14:textId="77777777" w:rsidR="00046CCA" w:rsidRPr="00397EEA" w:rsidRDefault="00046CCA" w:rsidP="00046CCA">
      <w:r w:rsidRPr="00397EEA">
        <w:t xml:space="preserve">На ближайших заседаниях совет директоров ЦБ будет оценивать целесообразность дополнительного повышения ставки, но это еще </w:t>
      </w:r>
      <w:r w:rsidR="00397EEA">
        <w:t>«</w:t>
      </w:r>
      <w:r w:rsidRPr="00397EEA">
        <w:t>не предопределено</w:t>
      </w:r>
      <w:r w:rsidR="00397EEA">
        <w:t>»</w:t>
      </w:r>
      <w:r w:rsidRPr="00397EEA">
        <w:t xml:space="preserve">, а будет зависеть от поступающих данных, указал он. Зампред ЦБ признал, что сила и скорость трансмиссионного механизма, от которого зависит лаг влияния решений ДКП на экономику, снизились. На него </w:t>
      </w:r>
      <w:r w:rsidR="00397EEA">
        <w:t>«</w:t>
      </w:r>
      <w:r w:rsidRPr="00397EEA">
        <w:t>заметное влияние оказало значительное увеличение масштабов льготных программ кредитования</w:t>
      </w:r>
      <w:r w:rsidR="00397EEA">
        <w:t>»</w:t>
      </w:r>
      <w:r w:rsidRPr="00397EEA">
        <w:t>, считает Заботкин.</w:t>
      </w:r>
    </w:p>
    <w:p w14:paraId="36A703A1" w14:textId="77777777" w:rsidR="00046CCA" w:rsidRPr="00397EEA" w:rsidRDefault="00046CCA" w:rsidP="00046CCA">
      <w:r w:rsidRPr="00397EEA">
        <w:t>Сигнал рынку</w:t>
      </w:r>
    </w:p>
    <w:p w14:paraId="4043051D" w14:textId="77777777" w:rsidR="00046CCA" w:rsidRPr="00397EEA" w:rsidRDefault="00046CCA" w:rsidP="00046CCA">
      <w:r w:rsidRPr="00397EEA">
        <w:lastRenderedPageBreak/>
        <w:t xml:space="preserve">Сценарии прежде всего следует расценивать как коммуникацию с рынком, так как это позволяет снизить уровень неопределенности, считает главный экономист Альфа-банка Наталия Орлова. По ее словам, заметно, что регулятор обеспокоен возникновением </w:t>
      </w:r>
      <w:r w:rsidR="00397EEA">
        <w:t>«</w:t>
      </w:r>
      <w:r w:rsidRPr="00397EEA">
        <w:t>тумана</w:t>
      </w:r>
      <w:r w:rsidR="00397EEA">
        <w:t>»</w:t>
      </w:r>
      <w:r w:rsidRPr="00397EEA">
        <w:t xml:space="preserve"> на рынке и, чтобы не допустить его сгущения, в своих сценариях делает акцент на возврат к цели по инфляции и смягчению ДКП, какими бы жесткими ни были внутренние и внешние условия. Рынок находился в парадигме, что возможна ставка 20-22%, поэтому регулятор включил эти значения в сценарий, но ориентируется на них только в случае глобального кризиса, добавила Орлова. Верхнее значение диапазона ставки в проинфляционном сценарии ниже - это означает, что ситуация внутри экономики уже нормализуется, указывает экономист.</w:t>
      </w:r>
    </w:p>
    <w:p w14:paraId="66280A44" w14:textId="77777777" w:rsidR="00046CCA" w:rsidRPr="00397EEA" w:rsidRDefault="00046CCA" w:rsidP="00046CCA">
      <w:r w:rsidRPr="00397EEA">
        <w:t>Как сигнал для успокоения следует считывать и упоминание в докладе о том, что ЦБ если и допускает возможность понизить цель по инфляции с 4%, то займется этим не раньше 2028 г. и объявит об этом заблаговременно, указывает Орлова. Однако, по мнению директора Института народнохозяйственного прогнозирования РАН Александра Широва, даже в 2027 г. приближение к таргету или его достижение вряд ли произойдет - для этого экономика должна сбалансироваться после структурных сдвигов и это может занять гораздо больше времени. С этим соглашается и директор Центра региональной политики ИПЭИ РАНХиГС Владимир Климанов, отмечая, что даже в более благоприятных социально-экономических условиях достичь таргета не удавалось, хотя приближения были.</w:t>
      </w:r>
    </w:p>
    <w:p w14:paraId="291EBFA7" w14:textId="77777777" w:rsidR="00046CCA" w:rsidRPr="00397EEA" w:rsidRDefault="00046CCA" w:rsidP="00046CCA">
      <w:r w:rsidRPr="00397EEA">
        <w:t xml:space="preserve">Из четырех предложенных вариантов наиболее вероятный тот, где описаны умеренные темпы экономического роста с сохранением высокой ставки, рассуждает Широв. По его мнению, задумываться стоит не о поиске предела жесткости ДКП, а о том, как долго экономика будет существовать в таком режиме. Eсли этот период затянется, возникнут серьезные дисбалансы, связанные с перетоком капитала в безрисковые инструменты (например, в облигации и вклады) и резким снижением инвестиционной активности, предупреждает эксперт: </w:t>
      </w:r>
      <w:r w:rsidR="00397EEA">
        <w:t>«</w:t>
      </w:r>
      <w:r w:rsidRPr="00397EEA">
        <w:t>Это будет консервировать и сдерживать экономическое развитие не только в тот период, когда ставка остается высокой, но и после того, когда она пойдет вниз</w:t>
      </w:r>
      <w:r w:rsidR="00397EEA">
        <w:t>»</w:t>
      </w:r>
      <w:r w:rsidRPr="00397EEA">
        <w:t>. По мнению Климанова, Банк России в неблагоприятных случаях едва ли пойдет на политически рискованные существенные поднятия ключевой ставки, но, с другой стороны, без этого погасить действия других проинфляционных факторов будет непросто.</w:t>
      </w:r>
    </w:p>
    <w:p w14:paraId="1BAB2131" w14:textId="77777777" w:rsidR="00046CCA" w:rsidRPr="00397EEA" w:rsidRDefault="00046CCA" w:rsidP="00046CCA">
      <w:r w:rsidRPr="00397EEA">
        <w:t>***</w:t>
      </w:r>
    </w:p>
    <w:p w14:paraId="0F251F22" w14:textId="77777777" w:rsidR="00046CCA" w:rsidRPr="00397EEA" w:rsidRDefault="00046CCA" w:rsidP="00046CCA">
      <w:r w:rsidRPr="00397EEA">
        <w:t>9,01% составила инфляция в годовом выражении, По данным Минэка на 26 августа</w:t>
      </w:r>
    </w:p>
    <w:p w14:paraId="1E281606" w14:textId="77777777" w:rsidR="00860A0B" w:rsidRPr="00397EEA" w:rsidRDefault="00860A0B" w:rsidP="00860A0B">
      <w:pPr>
        <w:pStyle w:val="2"/>
      </w:pPr>
      <w:bookmarkStart w:id="121" w:name="_Toc175897251"/>
      <w:bookmarkStart w:id="122" w:name="_Toc99271711"/>
      <w:bookmarkStart w:id="123" w:name="_Toc99318657"/>
      <w:bookmarkEnd w:id="119"/>
      <w:r w:rsidRPr="00397EEA">
        <w:t>Ведомости, 29.08.2024, Дмитрий ГРИНКЕВИЧ, Правительство и ЦБ подготовят план действий по борьбе с инфляцией</w:t>
      </w:r>
      <w:bookmarkEnd w:id="121"/>
    </w:p>
    <w:p w14:paraId="02E1A047" w14:textId="77777777" w:rsidR="00CB047E" w:rsidRPr="00397EEA" w:rsidRDefault="00860A0B" w:rsidP="00CB047E">
      <w:pPr>
        <w:pStyle w:val="3"/>
      </w:pPr>
      <w:bookmarkStart w:id="124" w:name="_Toc175897252"/>
      <w:r w:rsidRPr="00397EEA">
        <w:t xml:space="preserve">Правительство и Банк России подготовят совместный план дополнительных действий по борьбе с инфляцией. Об этом </w:t>
      </w:r>
      <w:r w:rsidR="00397EEA">
        <w:t>«</w:t>
      </w:r>
      <w:r w:rsidRPr="00397EEA">
        <w:t>Ведомостям</w:t>
      </w:r>
      <w:r w:rsidR="00397EEA">
        <w:t>»</w:t>
      </w:r>
      <w:r w:rsidRPr="00397EEA">
        <w:t xml:space="preserve"> рассказал высокопоставленный федеральный чиновник. Информацию подтвердили два близких к правительству собеседника. О дискуссии знает также источник, близкий к ЦБ.</w:t>
      </w:r>
      <w:bookmarkEnd w:id="124"/>
      <w:r w:rsidRPr="00397EEA">
        <w:t xml:space="preserve"> </w:t>
      </w:r>
    </w:p>
    <w:p w14:paraId="24CE6AD5" w14:textId="77777777" w:rsidR="00860A0B" w:rsidRPr="00397EEA" w:rsidRDefault="00860A0B" w:rsidP="00860A0B">
      <w:r w:rsidRPr="00397EEA">
        <w:t xml:space="preserve">По словам первого собеседника, обсуждаются меры по замедлению роста кредитования, которое продолжает увеличиваться высокими темпами, несмотря на </w:t>
      </w:r>
      <w:r w:rsidRPr="00397EEA">
        <w:lastRenderedPageBreak/>
        <w:t xml:space="preserve">повышение ключевой ставки. Эта тема обсуждалась на совещании по экономическим вопросам президента с членами правительства и председателем ЦБ Эльвирой Набиуллиной 26 августа. </w:t>
      </w:r>
    </w:p>
    <w:p w14:paraId="1DE53936" w14:textId="77777777" w:rsidR="00860A0B" w:rsidRPr="00397EEA" w:rsidRDefault="00860A0B" w:rsidP="00860A0B">
      <w:r w:rsidRPr="00397EEA">
        <w:t xml:space="preserve">Владимир Путин обратил внимание участников встречи, что кредитование и инфляция продолжают расти, несмотря на повышение ключевой ставки. </w:t>
      </w:r>
      <w:r w:rsidR="00397EEA">
        <w:t>«</w:t>
      </w:r>
      <w:r w:rsidRPr="00397EEA">
        <w:t>Очень важно, чтобы бурное развитие финансового сектора не вело к негативным последствиям, – тонкая вещь</w:t>
      </w:r>
      <w:r w:rsidR="00397EEA">
        <w:t>»</w:t>
      </w:r>
      <w:r w:rsidRPr="00397EEA">
        <w:t>, – подчеркнул президент. Путин призвал правительство и ЦБ усилить координацию действий по снижению инфляции.</w:t>
      </w:r>
    </w:p>
    <w:p w14:paraId="7DD09033" w14:textId="77777777" w:rsidR="00860A0B" w:rsidRPr="00397EEA" w:rsidRDefault="00860A0B" w:rsidP="00860A0B">
      <w:r w:rsidRPr="00397EEA">
        <w:t>Атака на инфляцию</w:t>
      </w:r>
    </w:p>
    <w:p w14:paraId="4538EE96" w14:textId="77777777" w:rsidR="00860A0B" w:rsidRPr="00397EEA" w:rsidRDefault="00860A0B" w:rsidP="00860A0B">
      <w:r w:rsidRPr="00397EEA">
        <w:t xml:space="preserve">По словам источников </w:t>
      </w:r>
      <w:r w:rsidR="00397EEA">
        <w:t>«</w:t>
      </w:r>
      <w:r w:rsidRPr="00397EEA">
        <w:t>Ведомостей</w:t>
      </w:r>
      <w:r w:rsidR="00397EEA">
        <w:t>»</w:t>
      </w:r>
      <w:r w:rsidRPr="00397EEA">
        <w:t>, власти договариваются об охлаждении спроса на новые займы по трем видам заемщиков: госкомпаниям и компаниям с госучастием, получателям кредитов с субсидированной ставкой и розничному сектору. По всем направлениям кредитование слабо реагирует на изменение ключевой ставки. По каждому из них будут выработаны отдельные решения.</w:t>
      </w:r>
    </w:p>
    <w:p w14:paraId="3425C649" w14:textId="77777777" w:rsidR="00860A0B" w:rsidRPr="00397EEA" w:rsidRDefault="00860A0B" w:rsidP="00860A0B">
      <w:r w:rsidRPr="00397EEA">
        <w:t>В первой группе заемщиков – компаниях, которые контролируются государством, – активный рост задолженности связан с замещением иностранных займов российскими и финансированием инвестиционных программ, отметил один из источников. В ряде случаев организации оценивают свои возможности слишком оптимистично и, по всей видимости, рассчитывают на поддержку из бюджета в случае возникновения сложностей. Банки также активно кредитуют госкомпании, рассчитывая на то, что их устойчивость гарантируется государством.</w:t>
      </w:r>
    </w:p>
    <w:p w14:paraId="2834B789" w14:textId="77777777" w:rsidR="00860A0B" w:rsidRPr="00397EEA" w:rsidRDefault="00860A0B" w:rsidP="00860A0B">
      <w:r w:rsidRPr="00397EEA">
        <w:t>Но по рыночным метрикам исходя из реального финансового состояния заемщиков их кредитоспособность следовало бы оценивать более консервативно, пояснил высокопоставленный федеральный чиновник.</w:t>
      </w:r>
    </w:p>
    <w:p w14:paraId="0971D485" w14:textId="77777777" w:rsidR="00860A0B" w:rsidRPr="00397EEA" w:rsidRDefault="00860A0B" w:rsidP="00860A0B">
      <w:r w:rsidRPr="00397EEA">
        <w:t xml:space="preserve">Второе направление – кредитование с субсидированной ставкой, которое касается льготных программ для малого и среднего бизнеса, аграриев и экспортеров по корпоративным программам повышения конкурентоспособности (КППК). Предлагается пересмотреть условия этих мер поддержки либо вовсе отказаться от их финансирования со следующего года. Тем более что потребность в займах у этих трех групп заемщиков сейчас не столь высока, как в прошлом году, отметил федеральный чиновник. Близкий к ЦБ источник с ним согласился и добавил, что сейчас получатели льготных займов фактически зарабатывают дважды – на сниженной относительно рынка ставке по своим кредитам и подорожании своей продукции. Особенно актуальными программы льготного кредитования стали с августа 2023 г., отметил представитель </w:t>
      </w:r>
      <w:r w:rsidR="00397EEA">
        <w:t>«</w:t>
      </w:r>
      <w:r w:rsidRPr="00397EEA">
        <w:t>Сбера</w:t>
      </w:r>
      <w:r w:rsidR="00397EEA">
        <w:t>»</w:t>
      </w:r>
      <w:r w:rsidRPr="00397EEA">
        <w:t>. Тогда ЦБ чуть более чем за месяц поднял ставку с 7,5 до 12%.</w:t>
      </w:r>
    </w:p>
    <w:p w14:paraId="6EF2AC4F" w14:textId="77777777" w:rsidR="00860A0B" w:rsidRPr="00397EEA" w:rsidRDefault="00860A0B" w:rsidP="00860A0B">
      <w:r w:rsidRPr="00397EEA">
        <w:t xml:space="preserve">По третьему направлению – розничному кредитованию – предполагается снижать мотивацию для банков выдавать новые займы. Ранее о дискуссии по поводу охлаждения спроса в том числе через меры по замедлению роста потребкредитов писал РБК. По словам его источников, власти могут предложить варианты искусственного увеличения сроков оформления таких </w:t>
      </w:r>
      <w:r w:rsidR="00397EEA">
        <w:t>«</w:t>
      </w:r>
      <w:r w:rsidRPr="00397EEA">
        <w:t>кредитов за пять минут</w:t>
      </w:r>
      <w:r w:rsidR="00397EEA">
        <w:t>»</w:t>
      </w:r>
      <w:r w:rsidRPr="00397EEA">
        <w:t xml:space="preserve">, а также различные способы ужесточения выдач в привязке к показателю долговой нагрузки. Как пояснил собеседник </w:t>
      </w:r>
      <w:r w:rsidR="00397EEA">
        <w:t>«</w:t>
      </w:r>
      <w:r w:rsidRPr="00397EEA">
        <w:t>Ведомостей</w:t>
      </w:r>
      <w:r w:rsidR="00397EEA">
        <w:t>»</w:t>
      </w:r>
      <w:r w:rsidRPr="00397EEA">
        <w:t>, эти варианты рассматриваются, но есть еще одно направление. Оно касается переноса части рисков с заемщика на кредитора, отметил он.</w:t>
      </w:r>
    </w:p>
    <w:p w14:paraId="6EC9432A" w14:textId="77777777" w:rsidR="00860A0B" w:rsidRPr="00397EEA" w:rsidRDefault="00860A0B" w:rsidP="00860A0B">
      <w:r w:rsidRPr="00397EEA">
        <w:lastRenderedPageBreak/>
        <w:t xml:space="preserve">У ЦБ достаточно инструментов, для того чтобы влиять на изменение потребкредитования, отметил представитель Минэка. В их число входят и макропруденциальные надбавки, и лимиты, добавил он. Однако в министерстве полагают, что нужна донастройка. </w:t>
      </w:r>
      <w:r w:rsidR="00397EEA">
        <w:t>«</w:t>
      </w:r>
      <w:r w:rsidRPr="00397EEA">
        <w:t>Считаем необходимым предоставить возможность разделить по времени момент обращения за кредитом и момент получения средств, в том числе для избежания ситуаций с необдуманным расходованием и борьбы с мошенничеством. Также важно более детально относиться к проверке источников погашения задолженности теми, кто берет кредит</w:t>
      </w:r>
      <w:r w:rsidR="00397EEA">
        <w:t>»</w:t>
      </w:r>
      <w:r w:rsidRPr="00397EEA">
        <w:t>, – заявил представитель Минэка.</w:t>
      </w:r>
    </w:p>
    <w:p w14:paraId="3A2294D3" w14:textId="77777777" w:rsidR="00860A0B" w:rsidRPr="00397EEA" w:rsidRDefault="00860A0B" w:rsidP="00860A0B">
      <w:r w:rsidRPr="00397EEA">
        <w:t xml:space="preserve">Представитель Минсельхоза (курирует льготные кредиты аграриям) ответил лаконично. </w:t>
      </w:r>
      <w:r w:rsidR="00397EEA">
        <w:t>«</w:t>
      </w:r>
      <w:r w:rsidRPr="00397EEA">
        <w:t>В настоящее время темпы кредитования находятся в рамках показателей госпрограммы АПК</w:t>
      </w:r>
      <w:r w:rsidR="00397EEA">
        <w:t>»</w:t>
      </w:r>
      <w:r w:rsidRPr="00397EEA">
        <w:t>, – сказал он.</w:t>
      </w:r>
    </w:p>
    <w:p w14:paraId="5BB43226" w14:textId="77777777" w:rsidR="00860A0B" w:rsidRPr="00397EEA" w:rsidRDefault="00860A0B" w:rsidP="00860A0B">
      <w:r w:rsidRPr="00397EEA">
        <w:t xml:space="preserve">Представители ЦБ, Минфина, Минпромторга (курирует КППК) не ответили на вопросы </w:t>
      </w:r>
      <w:r w:rsidR="00397EEA">
        <w:t>«</w:t>
      </w:r>
      <w:r w:rsidRPr="00397EEA">
        <w:t>Ведомостей</w:t>
      </w:r>
      <w:r w:rsidR="00397EEA">
        <w:t>»</w:t>
      </w:r>
      <w:r w:rsidRPr="00397EEA">
        <w:t xml:space="preserve">. </w:t>
      </w:r>
      <w:r w:rsidR="00397EEA">
        <w:t>«</w:t>
      </w:r>
      <w:r w:rsidRPr="00397EEA">
        <w:t>Ведомости</w:t>
      </w:r>
      <w:r w:rsidR="00397EEA">
        <w:t>»</w:t>
      </w:r>
      <w:r w:rsidRPr="00397EEA">
        <w:t xml:space="preserve"> также направили запросы в пресс-службы системно значимых банков и крупнейших компаний, которые контролируются государством.</w:t>
      </w:r>
    </w:p>
    <w:p w14:paraId="2AF4D14B" w14:textId="77777777" w:rsidR="00860A0B" w:rsidRPr="00397EEA" w:rsidRDefault="00860A0B" w:rsidP="00860A0B">
      <w:r w:rsidRPr="00397EEA">
        <w:t>Что можно сделать</w:t>
      </w:r>
    </w:p>
    <w:p w14:paraId="0D0DFCE5" w14:textId="77777777" w:rsidR="00860A0B" w:rsidRPr="00397EEA" w:rsidRDefault="00860A0B" w:rsidP="00860A0B">
      <w:r w:rsidRPr="00397EEA">
        <w:t xml:space="preserve">Для противодействия инфляции в России действуют денежно-кредитная политика (ДКП) Банка России и меры правительства, которые носят немонетарный характер, отметил представитель Минэка. В последние годы они эффективно дополняли друг друга, что сыграло значимую роль в сдерживании роста цен, полагает он. Из немонетарных мер наиболее действенные механизмы управления инфляцией – это рыночные инструменты, не предполагающие искусственного вмешательства в ценообразование, подчеркнули в ведомстве. Наглядный пример – демпферы по зерну, напомнил он. </w:t>
      </w:r>
      <w:r w:rsidR="00397EEA">
        <w:t>«</w:t>
      </w:r>
      <w:r w:rsidRPr="00397EEA">
        <w:t>Необходимо продолжать стимулировать предложение в отраслях, ориентированных на удовлетворение внутреннего спроса. Это в том числе развитие транспортно-логистических коридоров под новые потребности в экспорте и импорте, развитие агропромышленного комплекса, импортозамещение</w:t>
      </w:r>
      <w:r w:rsidR="00397EEA">
        <w:t>»</w:t>
      </w:r>
      <w:r w:rsidRPr="00397EEA">
        <w:t>, – резюмировал представитель Минэка.</w:t>
      </w:r>
    </w:p>
    <w:p w14:paraId="6CAB9E14" w14:textId="77777777" w:rsidR="00860A0B" w:rsidRPr="00397EEA" w:rsidRDefault="00860A0B" w:rsidP="00860A0B">
      <w:r w:rsidRPr="00397EEA">
        <w:t>Как росло кредитование</w:t>
      </w:r>
    </w:p>
    <w:p w14:paraId="0EDC4AA6" w14:textId="77777777" w:rsidR="00860A0B" w:rsidRPr="00397EEA" w:rsidRDefault="00860A0B" w:rsidP="00860A0B">
      <w:r w:rsidRPr="00397EEA">
        <w:t>За первые семь месяцев портфель кредитов юридическим лицам увеличился на 7,4 трлн руб., или на 9,4% относительно начала года, и составил 80,7 трлн руб., следует из обзора ЦБ о развитии банковского сектора.</w:t>
      </w:r>
    </w:p>
    <w:p w14:paraId="34286CA4" w14:textId="77777777" w:rsidR="00860A0B" w:rsidRPr="00397EEA" w:rsidRDefault="00860A0B" w:rsidP="00860A0B">
      <w:r w:rsidRPr="00397EEA">
        <w:t>В сегменте МСП наблюдается даже более сильная динамика. Портфель кредитов малому и среднему бизнесу за январь – июнь увеличился на 2 трлн руб., или на 16%, и превысил 14 трлн руб.</w:t>
      </w:r>
    </w:p>
    <w:p w14:paraId="0DDC9B1C" w14:textId="77777777" w:rsidR="00860A0B" w:rsidRPr="00397EEA" w:rsidRDefault="00860A0B" w:rsidP="00860A0B">
      <w:r w:rsidRPr="00397EEA">
        <w:t>Задолженность населения выросла за семь месяцев на 3,8 трлн руб., или на 10,3%, и составила 37,3 трлн руб.</w:t>
      </w:r>
    </w:p>
    <w:p w14:paraId="6337383E" w14:textId="77777777" w:rsidR="00860A0B" w:rsidRPr="00397EEA" w:rsidRDefault="00860A0B" w:rsidP="00860A0B">
      <w:r w:rsidRPr="00397EEA">
        <w:t xml:space="preserve">Арсенал правительства с точки зрения стабилизации цен далеко не исчерпан, полагает экономист Bloomberg Economics Александр Исаков. По его мнению, кабмин мог бы, например, рассмотреть перенос индексации утильсбора на автомобили, более тщательно мониторить обоснованность роста цен на ключевые потребительские товары, снизить ряд импортных пошлин, пересмотреть льготные программы и бюджетную политику в целом – например, в отношении бюджетного правила. Опыт </w:t>
      </w:r>
      <w:r w:rsidRPr="00397EEA">
        <w:lastRenderedPageBreak/>
        <w:t>показывает, что в вопросе контроля инфляции от правительства требуется скорее решимость, чем мастерство, отметил Исаков.</w:t>
      </w:r>
    </w:p>
    <w:p w14:paraId="58758FC5" w14:textId="77777777" w:rsidR="00860A0B" w:rsidRPr="00397EEA" w:rsidRDefault="00860A0B" w:rsidP="00860A0B">
      <w:r w:rsidRPr="00397EEA">
        <w:t>Высокие ставки и регуляторное воздействие, скорее всего, приведут к замедлению темпов роста кредитования даже без дополнительных мер, ожидает руководитель группы рейтингов финансовых институтов АКРА Валерий Пивень.</w:t>
      </w:r>
    </w:p>
    <w:p w14:paraId="31194BF6" w14:textId="77777777" w:rsidR="00860A0B" w:rsidRPr="00397EEA" w:rsidRDefault="00860A0B" w:rsidP="00860A0B">
      <w:r w:rsidRPr="00397EEA">
        <w:t>С новой ключевой ставкой уже в августе в ПСБ отмечают снижение востребованности кредитования среди своих клиентов, в первую очередь микропредприятий, указывает представитель банка. По результатам последнего исследования индекса RSBI доля тех, кто готов расширяться, заметно сократилась за два последних месяца и в июле составила 26%, снизившись на 7 п. п. по сравнению с предыдущим месяцем.</w:t>
      </w:r>
    </w:p>
    <w:p w14:paraId="3283FC94" w14:textId="77777777" w:rsidR="00860A0B" w:rsidRPr="00397EEA" w:rsidRDefault="00860A0B" w:rsidP="00860A0B">
      <w:r w:rsidRPr="00397EEA">
        <w:t>Абсурдная ситуация</w:t>
      </w:r>
    </w:p>
    <w:p w14:paraId="0C7D75F0" w14:textId="77777777" w:rsidR="00860A0B" w:rsidRPr="00397EEA" w:rsidRDefault="00860A0B" w:rsidP="00860A0B">
      <w:r w:rsidRPr="00397EEA">
        <w:t xml:space="preserve">С начала года выдачи кредитов госкомпаниям выросли на 8,7% и достигли 300 млрд руб. на начало июля 2024 г., сообщил </w:t>
      </w:r>
      <w:r w:rsidR="00397EEA">
        <w:t>«</w:t>
      </w:r>
      <w:r w:rsidRPr="00397EEA">
        <w:t>Ведомостям</w:t>
      </w:r>
      <w:r w:rsidR="00397EEA">
        <w:t>»</w:t>
      </w:r>
      <w:r w:rsidRPr="00397EEA">
        <w:t xml:space="preserve"> представитель </w:t>
      </w:r>
      <w:r w:rsidR="00397EEA">
        <w:t>«</w:t>
      </w:r>
      <w:r w:rsidRPr="00397EEA">
        <w:t>Сбера</w:t>
      </w:r>
      <w:r w:rsidR="00397EEA">
        <w:t>»</w:t>
      </w:r>
      <w:r w:rsidRPr="00397EEA">
        <w:t>. За 2023 г. рост составил 43% – компании взяли займов на 276 млрд руб. Замедление динамики связано прежде всего с реализацией крупных проектов, в том числе концессий в 2023 г., отметил он.</w:t>
      </w:r>
    </w:p>
    <w:p w14:paraId="44222632" w14:textId="77777777" w:rsidR="00860A0B" w:rsidRPr="00397EEA" w:rsidRDefault="00860A0B" w:rsidP="00860A0B">
      <w:r w:rsidRPr="00397EEA">
        <w:t>На текущий момент сохраняются высокие темпы кредитования компаний с государственным участием, подтвердил представитель ПСБ. По сравнению с 2023-м в 2024 г. рост портфеля таких кредитов в ПСБ составил 24%, сообщил он. Динамика обусловлена тем, что клиенты, находящиеся в инвестиционной фазе, продолжают выборку средств по действующим кредитным линиям в связи с тем, что остановка проектов влечет более негативные последствия, чем рост стоимости финансирования, пояснили в банке.</w:t>
      </w:r>
    </w:p>
    <w:p w14:paraId="6D2013DE" w14:textId="77777777" w:rsidR="00860A0B" w:rsidRPr="00397EEA" w:rsidRDefault="00860A0B" w:rsidP="00860A0B">
      <w:r w:rsidRPr="00397EEA">
        <w:t>По итогам первого полугодия объемы финансирования МСП в ПСБ увеличились почти на 30% год к году, добавил представитель кредитной организации. В июле ПСБ выдал по этому направлению на 13% кредитов больше, чем месяцем ранее. К такому росту в июле привели в том числе ожидаемое рынком повышение ключевой ставки и желание компаний воспользоваться кредитными средствами по более доступной на тот момент ставке, пояснили в банке.</w:t>
      </w:r>
    </w:p>
    <w:p w14:paraId="02A72556" w14:textId="77777777" w:rsidR="00860A0B" w:rsidRPr="00397EEA" w:rsidRDefault="00860A0B" w:rsidP="00860A0B">
      <w:r w:rsidRPr="00397EEA">
        <w:t xml:space="preserve">Рост портфеля льготных кредитов лимитируется только объемами бюджетных ассигнований, добавил представитель </w:t>
      </w:r>
      <w:r w:rsidR="00397EEA">
        <w:t>«</w:t>
      </w:r>
      <w:r w:rsidRPr="00397EEA">
        <w:t>Сбера</w:t>
      </w:r>
      <w:r w:rsidR="00397EEA">
        <w:t>»</w:t>
      </w:r>
      <w:r w:rsidRPr="00397EEA">
        <w:t xml:space="preserve">. Сейчас расходы на субсидирование сокращаются, вместе с этим снижается и портфель. Например, по программе </w:t>
      </w:r>
      <w:r w:rsidR="00397EEA">
        <w:t>«</w:t>
      </w:r>
      <w:r w:rsidRPr="00397EEA">
        <w:t>1764</w:t>
      </w:r>
      <w:r w:rsidR="00397EEA">
        <w:t>»</w:t>
      </w:r>
      <w:r w:rsidRPr="00397EEA">
        <w:t xml:space="preserve"> за 2023 г. задолженность МСП снизилась на 10%, а за семь месяцев 2024 г. – еще на 4,5%.</w:t>
      </w:r>
    </w:p>
    <w:p w14:paraId="6150071E" w14:textId="77777777" w:rsidR="00860A0B" w:rsidRPr="00397EEA" w:rsidRDefault="00860A0B" w:rsidP="00860A0B">
      <w:r w:rsidRPr="00397EEA">
        <w:t>Драйверы роста кредита</w:t>
      </w:r>
    </w:p>
    <w:p w14:paraId="562DF08D" w14:textId="77777777" w:rsidR="00860A0B" w:rsidRPr="00397EEA" w:rsidRDefault="00860A0B" w:rsidP="00860A0B">
      <w:r w:rsidRPr="00397EEA">
        <w:t xml:space="preserve">Аналитики ЦБ в последнем обзоре обратили внимание, что корпоративное кредитование в июле ускорилось до 2,3% после 1,5% в июне. В основном кредиты выдавались на пополнение оборотных средств и финансирование инвестиционных проектов, в том числе на покупку нового оборудования для оптимизации производственных процессов., сообщил регулятор. Наращивать кредитование в условиях жесткой ДКП позволяет высокая прибыль компаний – показатель за пять месяцев вырос на 14% до 13 трлн руб. Потребительское кредитование в прошлом месяце </w:t>
      </w:r>
      <w:r w:rsidR="00397EEA">
        <w:t>«</w:t>
      </w:r>
      <w:r w:rsidRPr="00397EEA">
        <w:t>несколько замедлилось</w:t>
      </w:r>
      <w:r w:rsidR="00397EEA">
        <w:t>»</w:t>
      </w:r>
      <w:r w:rsidRPr="00397EEA">
        <w:t xml:space="preserve">. Рост в июле составил 1,4% после 2% в мае – июне, отметил Банк России. Тем не менее темп роста потребительского кредитования все еще </w:t>
      </w:r>
      <w:r w:rsidRPr="00397EEA">
        <w:lastRenderedPageBreak/>
        <w:t>достаточно высокий, признал регулятор. Существенный объем выдач по-прежнему приходится на сегмент кредитных карт, где ставки всегда были высокими и поэтому не такими чувствительными к росту ключевой ставки, отмечается в обзоре. Кроме того, банки стали привлекать клиентов низкими ставками при выборке лимита в первый месяц (по истечении льготного периода ставки значительно увеличиваются). Некоторые заемщики могут использовать бесплатный льготный период для оплаты текущих расходов, при этом сохраняя средства на вкладах, обращали внимание в ЦБ.</w:t>
      </w:r>
    </w:p>
    <w:p w14:paraId="3B723C39" w14:textId="77777777" w:rsidR="00860A0B" w:rsidRPr="00397EEA" w:rsidRDefault="00860A0B" w:rsidP="00860A0B">
      <w:r w:rsidRPr="00397EEA">
        <w:t xml:space="preserve">Российская экономика находится в условиях высоких ставок, но бизнес в целом адаптировался к ситуации, а экономика продолжает рост, резюмировал представитель </w:t>
      </w:r>
      <w:r w:rsidR="00397EEA">
        <w:t>«</w:t>
      </w:r>
      <w:r w:rsidRPr="00397EEA">
        <w:t>Сбера</w:t>
      </w:r>
      <w:r w:rsidR="00397EEA">
        <w:t>»</w:t>
      </w:r>
      <w:r w:rsidRPr="00397EEA">
        <w:t>.</w:t>
      </w:r>
    </w:p>
    <w:p w14:paraId="287D18DF" w14:textId="77777777" w:rsidR="00860A0B" w:rsidRPr="00397EEA" w:rsidRDefault="00860A0B" w:rsidP="00860A0B">
      <w:r w:rsidRPr="00397EEA">
        <w:t xml:space="preserve">В России наблюдается кредитный бум невиданного масштаба, отметил экономист и автор Telegram-канала Spydell finance Павел Рябов. </w:t>
      </w:r>
      <w:r w:rsidR="00397EEA">
        <w:t>«</w:t>
      </w:r>
      <w:r w:rsidRPr="00397EEA">
        <w:t>Ситуация абсурдная: ключевая ставка на пределе, но обратная связь в экономике почти отсутствует, причем реакция даже инверсная – чем выше ставка, тем активнее выжирают кредиты</w:t>
      </w:r>
      <w:r w:rsidR="00397EEA">
        <w:t>»</w:t>
      </w:r>
      <w:r w:rsidRPr="00397EEA">
        <w:t>, – добавил он. Спектр причин достаточно широк и зависит от вида кредитования. Например, в кредитах населению, если не брать в расчет льготную ипотеку, драйверы роста – это субсидии автокредитов со стороны дилеров, отложенный из-за замороженности рынка в 2022–2023 гг. спрос, ожидания роста цен из-за введения утильсбора. В розничном секторе помимо его традиционно слабой чувствительности к ключевой ставке следует отдельно выделить появление новой, довольно многочисленной, группы заемщиков с относительно высокими доходами – это семьи участников СВО и занятых в оборонной промышленности.</w:t>
      </w:r>
    </w:p>
    <w:p w14:paraId="622FE565" w14:textId="77777777" w:rsidR="00860A0B" w:rsidRPr="00397EEA" w:rsidRDefault="00860A0B" w:rsidP="00860A0B">
      <w:r w:rsidRPr="00397EEA">
        <w:t xml:space="preserve">Нет уверенности, что охлаждение только потребительского необеспеченного кредитования внесет решающий вклад в борьбу с ростом цен, добавил старший директор по банковским рейтингам </w:t>
      </w:r>
      <w:r w:rsidR="00397EEA">
        <w:t>«</w:t>
      </w:r>
      <w:r w:rsidRPr="00397EEA">
        <w:t>Эксперт РА</w:t>
      </w:r>
      <w:r w:rsidR="00397EEA">
        <w:t>»</w:t>
      </w:r>
      <w:r w:rsidRPr="00397EEA">
        <w:t xml:space="preserve"> Иван Уклеин. Проинфляционное воздействие оказывает также перегрев автокредитования и ипотечного сегмента с учетом слишком высоких средних чеков и мультипликативного эффекта на комплектующие и запчасти, стройматериалы и проч., согласился он.</w:t>
      </w:r>
    </w:p>
    <w:p w14:paraId="62805158" w14:textId="77777777" w:rsidR="00111D7C" w:rsidRPr="00397EEA" w:rsidRDefault="00860A0B" w:rsidP="00860A0B">
      <w:r w:rsidRPr="00397EEA">
        <w:t>По бизнесу логика совершенно другая, отметил Рябов. Отсечение от внешних источников фондирования создало условия, при которых единственным доступным долговым каналом остаются даже не рублевые облигации, а рублевые кредиты, поэтому компании вынуждены брать по любым ставкам для сохранения устойчивости на траектории рефинансирования обязательств, даже если это скажется на финансовых показателях, полагает он. Кроме того, рост экономики, инфляционные ожидания, уход иностранных игроков создают положительный настрой относительно способности обслуживания обязательств с предположением, что финансовые показатели в среднесрочной перспективе обгонят издержки на обслуживание долгов, считает Рябов.</w:t>
      </w:r>
    </w:p>
    <w:p w14:paraId="6FBD8E42" w14:textId="77777777" w:rsidR="00A14A50" w:rsidRPr="00397EEA" w:rsidRDefault="00A14A50" w:rsidP="00A14A50">
      <w:pPr>
        <w:pStyle w:val="2"/>
      </w:pPr>
      <w:bookmarkStart w:id="125" w:name="_Toc175897253"/>
      <w:bookmarkStart w:id="126" w:name="_Hlk175897141"/>
      <w:r w:rsidRPr="00397EEA">
        <w:lastRenderedPageBreak/>
        <w:t>РИА Новости, 29.08.2024, Инфляция в России оказалась невосприимчивой к шокам мировой экономики - Центробанк</w:t>
      </w:r>
      <w:bookmarkEnd w:id="125"/>
    </w:p>
    <w:p w14:paraId="56076C64" w14:textId="77777777" w:rsidR="00A14A50" w:rsidRPr="00397EEA" w:rsidRDefault="00A14A50" w:rsidP="00CB047E">
      <w:pPr>
        <w:pStyle w:val="3"/>
      </w:pPr>
      <w:bookmarkStart w:id="127" w:name="_Toc175897254"/>
      <w:r w:rsidRPr="00397EEA">
        <w:t>Шоки, потрясения и просто резкие макроэкономические изменения в мировой экономике, включая колебания цен на нефть, повлияли на отечественную инфляцию несильно, более того, в текущем году это воздействие снижается, оценивает Банк России.</w:t>
      </w:r>
      <w:bookmarkEnd w:id="127"/>
    </w:p>
    <w:p w14:paraId="75D62040" w14:textId="77777777" w:rsidR="00A14A50" w:rsidRPr="00397EEA" w:rsidRDefault="00397EEA" w:rsidP="00A14A50">
      <w:r>
        <w:t>«</w:t>
      </w:r>
      <w:r w:rsidR="00A14A50" w:rsidRPr="00397EEA">
        <w:t>Вклад шоков мировой экономики в отечественную инфляцию по итогам года оказался относительно небольшим (0,3 процентного пункта): поддержание жесткой денежно-кредитной политики в большинстве зарубежных стран снижало внешний спрос на отечественные товары и услуги</w:t>
      </w:r>
      <w:r>
        <w:t>»</w:t>
      </w:r>
      <w:r w:rsidR="00A14A50" w:rsidRPr="00397EEA">
        <w:t xml:space="preserve">, - говорится в проекте документа </w:t>
      </w:r>
      <w:r>
        <w:t>«</w:t>
      </w:r>
      <w:r w:rsidR="00A14A50" w:rsidRPr="00397EEA">
        <w:t>Основные направления единой государственной денежно-кредитной политики на 2025 год и период 2026 и 2027 годов</w:t>
      </w:r>
      <w:r>
        <w:t>»</w:t>
      </w:r>
      <w:r w:rsidR="00A14A50" w:rsidRPr="00397EEA">
        <w:t>.</w:t>
      </w:r>
    </w:p>
    <w:p w14:paraId="32A034FB" w14:textId="77777777" w:rsidR="00A14A50" w:rsidRPr="00397EEA" w:rsidRDefault="00A14A50" w:rsidP="00A14A50">
      <w:r w:rsidRPr="00397EEA">
        <w:t>При этом вклад шоков цен на нефть в инфляцию России оказался отрицательным: минус 0,6 процентного пункта. Это произошло вследствие того, что относительная цена большинства сырьевых товаров в прошлом году оставалась достаточно высокой, несмотря на снижение мировых цен, отметили в ЦБ.</w:t>
      </w:r>
    </w:p>
    <w:p w14:paraId="471D533B" w14:textId="77777777" w:rsidR="00860A0B" w:rsidRPr="00397EEA" w:rsidRDefault="00A14A50" w:rsidP="00A14A50">
      <w:r w:rsidRPr="00397EEA">
        <w:t>При этом из материалов доклада следует, что в целом влияние экономических шоков на инфляцию в России по итогам первого полугодия текущего года оказалось немного ниже, чем годом ранее.</w:t>
      </w:r>
    </w:p>
    <w:p w14:paraId="4B0ED44D" w14:textId="77777777" w:rsidR="004D2D02" w:rsidRPr="00397EEA" w:rsidRDefault="004D2D02" w:rsidP="004D2D02">
      <w:pPr>
        <w:pStyle w:val="2"/>
      </w:pPr>
      <w:bookmarkStart w:id="128" w:name="_Toc175897255"/>
      <w:bookmarkEnd w:id="126"/>
      <w:r w:rsidRPr="00397EEA">
        <w:t>РИА Новости, 29.08.2024, ЦБ РФ оценит целесообразность снижения цели по инфляции, но оно возможно не ранее 2028 г</w:t>
      </w:r>
      <w:bookmarkEnd w:id="128"/>
    </w:p>
    <w:p w14:paraId="12F36DF5" w14:textId="77777777" w:rsidR="004D2D02" w:rsidRPr="00397EEA" w:rsidRDefault="004D2D02" w:rsidP="00CB047E">
      <w:pPr>
        <w:pStyle w:val="3"/>
      </w:pPr>
      <w:bookmarkStart w:id="129" w:name="_Toc175897256"/>
      <w:r w:rsidRPr="00397EEA">
        <w:t>Банк России оценит целесообразность снижения цели по инфляции после ее замедления и стабилизации вблизи 4%, при этом снижение цели возможно не ранее 2028 года, говорится в докладе регулятора об основных направлениях денежно-кредитной политики (ДКП) на 2025 год и период 2026-2027 годов.</w:t>
      </w:r>
      <w:bookmarkEnd w:id="129"/>
    </w:p>
    <w:p w14:paraId="1FCE1DA2" w14:textId="77777777" w:rsidR="004D2D02" w:rsidRPr="00397EEA" w:rsidRDefault="00397EEA" w:rsidP="004D2D02">
      <w:r>
        <w:t>«</w:t>
      </w:r>
      <w:r w:rsidR="004D2D02" w:rsidRPr="00397EEA">
        <w:t>После замедления инфляции и ее стабилизации вблизи 4% Банк России оценит целесообразность снижения уровня цели по инфляции. При этом снижение возможно не ранее 2028 года. В случае принятия такого решения оно будет объявлено за несколько лет до изменения</w:t>
      </w:r>
      <w:r>
        <w:t>»</w:t>
      </w:r>
      <w:r w:rsidR="004D2D02" w:rsidRPr="00397EEA">
        <w:t>, - говорится в документе.</w:t>
      </w:r>
    </w:p>
    <w:p w14:paraId="41538A39" w14:textId="77777777" w:rsidR="00F21CE1" w:rsidRPr="00397EEA" w:rsidRDefault="00F21CE1" w:rsidP="00F21CE1">
      <w:pPr>
        <w:pStyle w:val="2"/>
      </w:pPr>
      <w:bookmarkStart w:id="130" w:name="_Toc175897257"/>
      <w:r w:rsidRPr="00397EEA">
        <w:t xml:space="preserve">РИА Новости, 29.08.2024, </w:t>
      </w:r>
      <w:r w:rsidR="00397EEA">
        <w:t>«</w:t>
      </w:r>
      <w:r w:rsidRPr="00397EEA">
        <w:t>Потолка</w:t>
      </w:r>
      <w:r w:rsidR="00397EEA">
        <w:t>»</w:t>
      </w:r>
      <w:r w:rsidRPr="00397EEA">
        <w:t xml:space="preserve"> жесткости ДКП для достижения цели по инфляции у Банка России нет - Заботкин</w:t>
      </w:r>
      <w:bookmarkEnd w:id="130"/>
    </w:p>
    <w:p w14:paraId="3CEA734A" w14:textId="77777777" w:rsidR="00F21CE1" w:rsidRPr="00397EEA" w:rsidRDefault="00397EEA" w:rsidP="00CB047E">
      <w:pPr>
        <w:pStyle w:val="3"/>
      </w:pPr>
      <w:bookmarkStart w:id="131" w:name="_Toc175897258"/>
      <w:r>
        <w:t>«</w:t>
      </w:r>
      <w:r w:rsidR="00F21CE1" w:rsidRPr="00397EEA">
        <w:t>Потолка</w:t>
      </w:r>
      <w:r>
        <w:t>»</w:t>
      </w:r>
      <w:r w:rsidR="00F21CE1" w:rsidRPr="00397EEA">
        <w:t xml:space="preserve"> жесткости денежно-кредитной политики для достижения таргета по инфляции у Банка России нет, заявил на пресс-конференции зампред ЦБ РФ Алексей Заботкин.</w:t>
      </w:r>
      <w:bookmarkEnd w:id="131"/>
    </w:p>
    <w:p w14:paraId="0955BBC6" w14:textId="77777777" w:rsidR="00F21CE1" w:rsidRPr="00397EEA" w:rsidRDefault="00397EEA" w:rsidP="00F21CE1">
      <w:r>
        <w:t>«</w:t>
      </w:r>
      <w:r w:rsidR="00F21CE1" w:rsidRPr="00397EEA">
        <w:t>Даже базовый сценарий не исключает, что ставка до 20% может дойти. Опять же, это не предопределено, мы будем оценивать целесообразность. Нет степени жесткости денежно-кредитной политики, которая будет предписана</w:t>
      </w:r>
      <w:r>
        <w:t>»</w:t>
      </w:r>
      <w:r w:rsidR="00F21CE1" w:rsidRPr="00397EEA">
        <w:t>, - ответил он на вопрос, есть ли верхняя граница, выше которой ЦБ не будет поднимать ключевую ставку.</w:t>
      </w:r>
    </w:p>
    <w:p w14:paraId="39113EE5" w14:textId="77777777" w:rsidR="00F21CE1" w:rsidRPr="00397EEA" w:rsidRDefault="00F21CE1" w:rsidP="00F21CE1">
      <w:r w:rsidRPr="00397EEA">
        <w:lastRenderedPageBreak/>
        <w:t xml:space="preserve">При этом Заботкин добавил, что </w:t>
      </w:r>
      <w:r w:rsidR="00397EEA">
        <w:t>«</w:t>
      </w:r>
      <w:r w:rsidRPr="00397EEA">
        <w:t>чем раньше денежно-кредитная политика реагирует на инфляционное давление устойчивое, тем меньше ставку приходится поднимать, чтобы это инфляционное давление гасить</w:t>
      </w:r>
      <w:r w:rsidR="00397EEA">
        <w:t>»</w:t>
      </w:r>
      <w:r w:rsidRPr="00397EEA">
        <w:t>.</w:t>
      </w:r>
    </w:p>
    <w:p w14:paraId="65A6B839" w14:textId="77777777" w:rsidR="00F21CE1" w:rsidRPr="00397EEA" w:rsidRDefault="00F21CE1" w:rsidP="00F21CE1">
      <w:r w:rsidRPr="00397EEA">
        <w:t>Денежно-кредитная политика во всех сценариях направлена на возвращение инфляции к 4%. Для этого Банк России будет принимать необходимые меры, исходя из состояния экономики, динамики инфляции и ситуации на финансовых рынках, сообщил ранее регулятор в своем докладе.</w:t>
      </w:r>
    </w:p>
    <w:p w14:paraId="47F6452A" w14:textId="77777777" w:rsidR="00A14A50" w:rsidRPr="00397EEA" w:rsidRDefault="00A14A50" w:rsidP="00A14A50">
      <w:pPr>
        <w:pStyle w:val="2"/>
      </w:pPr>
      <w:bookmarkStart w:id="132" w:name="_Toc175897259"/>
      <w:r w:rsidRPr="00397EEA">
        <w:t>РИА Новости, 29.08.2024, ЦБ РФ в одном из прогнозов видит риски исчерпания ликвидной части ФНБ в течение 2025 г</w:t>
      </w:r>
      <w:bookmarkEnd w:id="132"/>
    </w:p>
    <w:p w14:paraId="4DC829A9" w14:textId="77777777" w:rsidR="00A14A50" w:rsidRPr="00397EEA" w:rsidRDefault="00A14A50" w:rsidP="00CB047E">
      <w:pPr>
        <w:pStyle w:val="3"/>
      </w:pPr>
      <w:bookmarkStart w:id="133" w:name="_Toc175897260"/>
      <w:r w:rsidRPr="00397EEA">
        <w:t xml:space="preserve">Банк России в рисковом прогнозном сценарии предполагает, что в результате вероятного глобального кризиса и ухудшения отношений между США и Китаем цены на нефть упадут и придётся активного использовать ликвидную часть Фонда национального благосостояния) ФНБ, которая в течение следующего года окажется исчерпанной, говорится в опубликованном ЦБ проекте </w:t>
      </w:r>
      <w:r w:rsidR="00397EEA">
        <w:t>«</w:t>
      </w:r>
      <w:r w:rsidRPr="00397EEA">
        <w:t>Основных направлений единой государственной денежно-кредитной политики</w:t>
      </w:r>
      <w:r w:rsidR="00397EEA">
        <w:t>»</w:t>
      </w:r>
      <w:r w:rsidRPr="00397EEA">
        <w:t>.</w:t>
      </w:r>
      <w:bookmarkEnd w:id="133"/>
    </w:p>
    <w:p w14:paraId="12F3043A" w14:textId="77777777" w:rsidR="00A14A50" w:rsidRPr="00397EEA" w:rsidRDefault="00A14A50" w:rsidP="00A14A50">
      <w:r w:rsidRPr="00397EEA">
        <w:t xml:space="preserve">В разделе, где говорится о сценарии глобального кризиса, Банк России отмечает, что вероятный мировой кризис из-за высокого уровня учётных ставок и накопившихся дисбалансов на финансовых рынках может быть сопоставим по масштабам с кризисом 2007-2008 годов. Кроме того, может начаться активная фаза </w:t>
      </w:r>
      <w:r w:rsidR="00397EEA">
        <w:t>«</w:t>
      </w:r>
      <w:r w:rsidRPr="00397EEA">
        <w:t>деглобализации</w:t>
      </w:r>
      <w:r w:rsidR="00397EEA">
        <w:t>»</w:t>
      </w:r>
      <w:r w:rsidRPr="00397EEA">
        <w:t xml:space="preserve"> (фрагментации на торговые блоки), которая будет спровоцирована ухудшением отношений США и Китая.</w:t>
      </w:r>
    </w:p>
    <w:p w14:paraId="0FF5D1A8" w14:textId="77777777" w:rsidR="00A14A50" w:rsidRPr="00397EEA" w:rsidRDefault="00397EEA" w:rsidP="00A14A50">
      <w:r>
        <w:t>«</w:t>
      </w:r>
      <w:r w:rsidR="00A14A50" w:rsidRPr="00397EEA">
        <w:t>На фоне значительного падения сырьевых цен при действующих параметрах бюджетного правила это приведет к активному использованию ликвидной части ФНБ для нейтрализации шока, что создает риски исчерпания средств ФНБ в течение 2025 года</w:t>
      </w:r>
      <w:r>
        <w:t>»</w:t>
      </w:r>
      <w:r w:rsidR="00A14A50" w:rsidRPr="00397EEA">
        <w:t>, - указывает ЦБ.</w:t>
      </w:r>
    </w:p>
    <w:p w14:paraId="6478D06D" w14:textId="77777777" w:rsidR="00A14A50" w:rsidRPr="00397EEA" w:rsidRDefault="00397EEA" w:rsidP="00A14A50">
      <w:r>
        <w:t>«</w:t>
      </w:r>
      <w:r w:rsidR="00A14A50" w:rsidRPr="00397EEA">
        <w:t>С учетом более низкого равновесия мировых цен на сырье потребуется трансформация бюджетного правила с постепенным переходом к базовой цене нефти на уровне 40 долларов США за баррель к 2027 году. Сокращение базовых нефтегазовых доходов вследствие снижения цены отсечения в правиле будет способствовать бюджетной консолидации - снижению расходов бюджета в относительном выражении</w:t>
      </w:r>
      <w:r>
        <w:t>»</w:t>
      </w:r>
      <w:r w:rsidR="00A14A50" w:rsidRPr="00397EEA">
        <w:t>, - также отмечается в проекте.</w:t>
      </w:r>
    </w:p>
    <w:p w14:paraId="09E0E0DC" w14:textId="77777777" w:rsidR="00A14A50" w:rsidRPr="00397EEA" w:rsidRDefault="00A14A50" w:rsidP="00A14A50">
      <w:r w:rsidRPr="00397EEA">
        <w:t>По предварительным данным Минфина РФ, объем ФНБ на 1 августа составил 12,278 триллиона рублей, а объем ликвидных активов фонда (средства на банковских счетах в Банке России) - эквивалент 4,665 триллиона рублей (2,4% ВВП, прогнозируемого на текущий год).</w:t>
      </w:r>
    </w:p>
    <w:p w14:paraId="131F03AF" w14:textId="77777777" w:rsidR="00A14A50" w:rsidRPr="00397EEA" w:rsidRDefault="00A14A50" w:rsidP="00A14A50"/>
    <w:p w14:paraId="27DD070D" w14:textId="77777777" w:rsidR="00111D7C" w:rsidRPr="00397EEA" w:rsidRDefault="00111D7C" w:rsidP="00111D7C">
      <w:pPr>
        <w:pStyle w:val="251"/>
      </w:pPr>
      <w:bookmarkStart w:id="134" w:name="_Toc99271712"/>
      <w:bookmarkStart w:id="135" w:name="_Toc99318658"/>
      <w:bookmarkStart w:id="136" w:name="_Toc165991078"/>
      <w:bookmarkStart w:id="137" w:name="_Toc175897261"/>
      <w:bookmarkEnd w:id="122"/>
      <w:bookmarkEnd w:id="123"/>
      <w:r w:rsidRPr="00397EEA">
        <w:lastRenderedPageBreak/>
        <w:t>НОВОСТИ ЗАРУБЕЖНЫХ ПЕНСИОННЫХ СИСТЕМ</w:t>
      </w:r>
      <w:bookmarkEnd w:id="134"/>
      <w:bookmarkEnd w:id="135"/>
      <w:bookmarkEnd w:id="136"/>
      <w:bookmarkEnd w:id="137"/>
    </w:p>
    <w:p w14:paraId="65643338" w14:textId="77777777" w:rsidR="00111D7C" w:rsidRPr="00397EEA" w:rsidRDefault="00111D7C" w:rsidP="00111D7C">
      <w:pPr>
        <w:pStyle w:val="10"/>
      </w:pPr>
      <w:bookmarkStart w:id="138" w:name="_Toc99271713"/>
      <w:bookmarkStart w:id="139" w:name="_Toc99318659"/>
      <w:bookmarkStart w:id="140" w:name="_Toc165991079"/>
      <w:bookmarkStart w:id="141" w:name="_Toc175897262"/>
      <w:r w:rsidRPr="00397EEA">
        <w:t>Новости пенсионной отрасли стран ближнего зарубежья</w:t>
      </w:r>
      <w:bookmarkEnd w:id="138"/>
      <w:bookmarkEnd w:id="139"/>
      <w:bookmarkEnd w:id="140"/>
      <w:bookmarkEnd w:id="141"/>
    </w:p>
    <w:p w14:paraId="500DDFB5" w14:textId="77777777" w:rsidR="00813490" w:rsidRPr="00397EEA" w:rsidRDefault="00813490" w:rsidP="00813490">
      <w:pPr>
        <w:pStyle w:val="2"/>
      </w:pPr>
      <w:bookmarkStart w:id="142" w:name="_Toc175897263"/>
      <w:r w:rsidRPr="00397EEA">
        <w:t>Курсив, 29.08.2024, Нацбанк предложил сократить изъятия пенсионных накоплений из ЕНПФ</w:t>
      </w:r>
      <w:bookmarkEnd w:id="142"/>
    </w:p>
    <w:p w14:paraId="3F4BFFF7" w14:textId="77777777" w:rsidR="00813490" w:rsidRPr="00397EEA" w:rsidRDefault="00813490" w:rsidP="00CB047E">
      <w:pPr>
        <w:pStyle w:val="3"/>
      </w:pPr>
      <w:bookmarkStart w:id="143" w:name="_Toc175897264"/>
      <w:r w:rsidRPr="00397EEA">
        <w:t>Рабочая группа по реформированию пенсионной системы рассматривает возможность ограничить снятия пенсионных накоплений из ЕНПФ. Об этом на пресс-брифинге сообщил глава Нацбанка Тимур Сулейменов.</w:t>
      </w:r>
      <w:bookmarkEnd w:id="143"/>
      <w:r w:rsidRPr="00397EEA">
        <w:t xml:space="preserve"> </w:t>
      </w:r>
    </w:p>
    <w:p w14:paraId="61A77F12" w14:textId="77777777" w:rsidR="00813490" w:rsidRPr="00397EEA" w:rsidRDefault="00397EEA" w:rsidP="00813490">
      <w:r>
        <w:t>«</w:t>
      </w:r>
      <w:r w:rsidR="00813490" w:rsidRPr="00397EEA">
        <w:t>Сейчас социальный блок правительства и Нацбанк создали рабочую группу, которая рассматривает контуры пенсионной системы. То, что ее надо реформировать, на мой взгляд, сомнений ни у кого не вызывает</w:t>
      </w:r>
      <w:r>
        <w:t>»</w:t>
      </w:r>
      <w:r w:rsidR="00813490" w:rsidRPr="00397EEA">
        <w:t xml:space="preserve">, – заявил Сулейменов. </w:t>
      </w:r>
    </w:p>
    <w:p w14:paraId="71C2B54B" w14:textId="77777777" w:rsidR="00813490" w:rsidRPr="00397EEA" w:rsidRDefault="00813490" w:rsidP="00813490">
      <w:r w:rsidRPr="00397EEA">
        <w:t xml:space="preserve">Он добавил, что это </w:t>
      </w:r>
      <w:r w:rsidR="00397EEA">
        <w:t>«</w:t>
      </w:r>
      <w:r w:rsidRPr="00397EEA">
        <w:t>крайне непростая работа</w:t>
      </w:r>
      <w:r w:rsidR="00397EEA">
        <w:t>»</w:t>
      </w:r>
      <w:r w:rsidRPr="00397EEA">
        <w:t xml:space="preserve">, ведь на будущую пенсию влияет множество факторов – продолжительность жизни, численность населения, инфляция, реальные доходы людей и коэффициент замещения дохода. </w:t>
      </w:r>
    </w:p>
    <w:p w14:paraId="55B203B1" w14:textId="77777777" w:rsidR="00813490" w:rsidRPr="00397EEA" w:rsidRDefault="00397EEA" w:rsidP="00813490">
      <w:r>
        <w:t>«</w:t>
      </w:r>
      <w:r w:rsidR="00813490" w:rsidRPr="00397EEA">
        <w:t>Поэтому одним из элементов, возможно, будет то, что мы изъятия пенсионных накоплений сверх порога должны будем сократить. Особенно в свете того, как много, к сожалению, было различных фальсификаций, когда деньги вытаскивались на медицинские услуги, на стоматологию, но на самом деле просто клались в карман. Вот это надо точно ужесточать, с этим надо бороться</w:t>
      </w:r>
      <w:r>
        <w:t>»</w:t>
      </w:r>
      <w:r w:rsidR="00813490" w:rsidRPr="00397EEA">
        <w:t xml:space="preserve">, – отметил глава Нацбанка. </w:t>
      </w:r>
    </w:p>
    <w:p w14:paraId="29448A79" w14:textId="77777777" w:rsidR="00813490" w:rsidRPr="00397EEA" w:rsidRDefault="00813490" w:rsidP="00813490">
      <w:r w:rsidRPr="00397EEA">
        <w:t xml:space="preserve">На уточняющий вопрос Сулейменов подтвердил, что это идея находится в работе. Примерные сроки реформирования системы глава Нацбанка не назвал. </w:t>
      </w:r>
    </w:p>
    <w:p w14:paraId="45811062" w14:textId="77777777" w:rsidR="00813490" w:rsidRPr="00397EEA" w:rsidRDefault="00813490" w:rsidP="00813490">
      <w:r w:rsidRPr="00397EEA">
        <w:t xml:space="preserve">В 2021 году в Казахстане разрешили досрочное снятие пенсионных накоплений. При этом получить деньги можно только на покупку жилья или лечение. На сегодня, по данным Минтруда, этой услугой воспользовались 1,5 млн человек. Из ЕНПФ за это время было изъято 3 трлн тенге. </w:t>
      </w:r>
    </w:p>
    <w:p w14:paraId="035E63EF" w14:textId="77777777" w:rsidR="00813490" w:rsidRPr="00397EEA" w:rsidRDefault="00813490" w:rsidP="00813490">
      <w:r w:rsidRPr="00397EEA">
        <w:t>С начала 2023 года пороги достаточности для изъятий пенсионных накоплений были повышены, в 2024 году они остались на уровне предыдущего года и составили от 3 до 10 млн тенге в зависимости от возраста.</w:t>
      </w:r>
    </w:p>
    <w:p w14:paraId="572C839E" w14:textId="77777777" w:rsidR="00813490" w:rsidRPr="00397EEA" w:rsidRDefault="00813490" w:rsidP="00813490">
      <w:r w:rsidRPr="00397EEA">
        <w:t>Что говорят в Общественном совете ЕНПФ</w:t>
      </w:r>
    </w:p>
    <w:p w14:paraId="61C21C4A" w14:textId="77777777" w:rsidR="00813490" w:rsidRPr="00397EEA" w:rsidRDefault="00813490" w:rsidP="00813490">
      <w:r w:rsidRPr="00397EEA">
        <w:t xml:space="preserve">В конце июня казахстанские эксперты Григорий Марченко, Ораз Жандосов, Болат Жамишев, Кадыржан Дамитов, Анвар Сайденов и Елена Бахмутова, вошедшие в Общественный совет ЕНПФ, разработали и направили на рассмотрение президенту Касым-Жомарту Токаеву ряд предложений по повышению финансовой устойчивости и адекватности пенсионной системы Казахстана. </w:t>
      </w:r>
    </w:p>
    <w:p w14:paraId="6EC41F31" w14:textId="77777777" w:rsidR="00813490" w:rsidRPr="00397EEA" w:rsidRDefault="00813490" w:rsidP="00813490">
      <w:r w:rsidRPr="00397EEA">
        <w:lastRenderedPageBreak/>
        <w:t xml:space="preserve">Одно из предложений экспертов касалось ограничений изъятия пенсионных накоплений. По их мнению, изъятия не должны носить постоянный характер и препятствовать формированию накоплений. </w:t>
      </w:r>
    </w:p>
    <w:p w14:paraId="74ED929C" w14:textId="77777777" w:rsidR="00813490" w:rsidRPr="00397EEA" w:rsidRDefault="00397EEA" w:rsidP="00813490">
      <w:r>
        <w:t>«</w:t>
      </w:r>
      <w:r w:rsidR="00813490" w:rsidRPr="00397EEA">
        <w:t>В рамках решения ключевой задачи по обеспечению адекватности пенсий, следует разумно ограничить постоянное изъятие накоплений. В настоящее время объем изъятий превысил и продолжает превышать объем пенсионных выплат. Досрочные выплаты не должны стать причиной невысоких пенсионных накоплений у казахстанцев и неадекватной пенсии в будущем, не отвечающей социальным стандартам</w:t>
      </w:r>
      <w:r>
        <w:t>»</w:t>
      </w:r>
      <w:r w:rsidR="00813490" w:rsidRPr="00397EEA">
        <w:t xml:space="preserve">, – разъясняли в ЕНПФ предложение экспертов. </w:t>
      </w:r>
    </w:p>
    <w:p w14:paraId="591E5598" w14:textId="77777777" w:rsidR="00813490" w:rsidRPr="00397EEA" w:rsidRDefault="00813490" w:rsidP="00813490">
      <w:r w:rsidRPr="00397EEA">
        <w:t>Эксперты предлагали сохранить право граждан на использование части своих пенсионных накоплений. При этом реализовать такое право смог тот, кто обеспечил себя адекватной пожизненной пенсией с размерами выплат не менее определенного социального стандарта, поэтапно повышаемого до международных стандартов пенсионного обеспечения.</w:t>
      </w:r>
    </w:p>
    <w:p w14:paraId="7BC689D9" w14:textId="77777777" w:rsidR="00813490" w:rsidRPr="00397EEA" w:rsidRDefault="00997114" w:rsidP="00813490">
      <w:hyperlink r:id="rId34" w:history="1">
        <w:r w:rsidR="00813490" w:rsidRPr="00397EEA">
          <w:rPr>
            <w:rStyle w:val="a3"/>
          </w:rPr>
          <w:t>https://kz.kursiv.media/2024-08-29/zhzh-pensiiiz/</w:t>
        </w:r>
      </w:hyperlink>
      <w:r w:rsidR="00813490" w:rsidRPr="00397EEA">
        <w:t xml:space="preserve"> </w:t>
      </w:r>
    </w:p>
    <w:p w14:paraId="0AA33DAD" w14:textId="77777777" w:rsidR="00813490" w:rsidRPr="00397EEA" w:rsidRDefault="00813490" w:rsidP="00813490">
      <w:pPr>
        <w:pStyle w:val="2"/>
      </w:pPr>
      <w:bookmarkStart w:id="144" w:name="_Toc175897265"/>
      <w:r w:rsidRPr="00397EEA">
        <w:t>Azattyq Rýhy, 29.08.2024, Лечение зубов за счет пенсионных накоплений: опубликованы обновленные правила</w:t>
      </w:r>
      <w:bookmarkEnd w:id="144"/>
    </w:p>
    <w:p w14:paraId="3381C26E" w14:textId="77777777" w:rsidR="00813490" w:rsidRPr="00397EEA" w:rsidRDefault="00813490" w:rsidP="00CB047E">
      <w:pPr>
        <w:pStyle w:val="3"/>
      </w:pPr>
      <w:bookmarkStart w:id="145" w:name="_Toc175897266"/>
      <w:r w:rsidRPr="00397EEA">
        <w:t xml:space="preserve">Министерство здравоохранения РК предлагает внести изменения и дополнения в правила использования единовременных пенсионных выплат на лечение. Соответствующий проект приказа ведомства размещен на портале </w:t>
      </w:r>
      <w:r w:rsidR="00397EEA">
        <w:t>«</w:t>
      </w:r>
      <w:r w:rsidRPr="00397EEA">
        <w:t>Открытые НПА</w:t>
      </w:r>
      <w:r w:rsidR="00397EEA">
        <w:t>»</w:t>
      </w:r>
      <w:r w:rsidRPr="00397EEA">
        <w:t>, передает Azattyq Rýhy.</w:t>
      </w:r>
      <w:bookmarkEnd w:id="145"/>
    </w:p>
    <w:p w14:paraId="140CD2BA" w14:textId="77777777" w:rsidR="00813490" w:rsidRPr="00397EEA" w:rsidRDefault="00813490" w:rsidP="00813490">
      <w:r w:rsidRPr="00397EEA">
        <w:t xml:space="preserve">Минздрав предлагает ввести следующее нововведение: оно заключается в том, что использовать пенсионные накопления на лечение зубов можно будет только после получения заключения врачебно-консультационной комиссии (ВКК).  </w:t>
      </w:r>
    </w:p>
    <w:p w14:paraId="4AFCD81A" w14:textId="77777777" w:rsidR="00813490" w:rsidRPr="00397EEA" w:rsidRDefault="00813490" w:rsidP="00813490">
      <w:r w:rsidRPr="00397EEA">
        <w:t xml:space="preserve">Для получения заключения от ВКК казахстанцам необходимо будет самостоятельно получить информацию о сумме своих пенсионных накоплений. После этого заполнить заявление на изъятие пенсионных накоплений в личном кабинете на сайте </w:t>
      </w:r>
      <w:r w:rsidR="00397EEA">
        <w:t>«</w:t>
      </w:r>
      <w:r w:rsidRPr="00397EEA">
        <w:t>Отбасы банка</w:t>
      </w:r>
      <w:r w:rsidR="00397EEA">
        <w:t>»</w:t>
      </w:r>
      <w:r w:rsidRPr="00397EEA">
        <w:t xml:space="preserve"> (уполномоченного оператора). После поступления средств на специальный счет можно обратиться за медицинской помощью в стоматологию. Нужно приложить копию документа, удостоверяющего личность получателя, и заключение профильного специалиста.</w:t>
      </w:r>
    </w:p>
    <w:p w14:paraId="60FB2F91" w14:textId="77777777" w:rsidR="00813490" w:rsidRPr="00397EEA" w:rsidRDefault="00397EEA" w:rsidP="00813490">
      <w:r>
        <w:t>«</w:t>
      </w:r>
      <w:r w:rsidR="00813490" w:rsidRPr="00397EEA">
        <w:t>При оказании стоматологической помощи в состав ВКК входит врач-стоматолог, который до заседания ВКК изучает предоставленный план лечения, рентген-снимки до и после лечения, лицензию на медицинскую деятельность стоматологической организации и готовит заключение для ВКК</w:t>
      </w:r>
      <w:r>
        <w:t>»</w:t>
      </w:r>
      <w:r w:rsidR="00813490" w:rsidRPr="00397EEA">
        <w:t>, - говорится в тексте проекта приказа.</w:t>
      </w:r>
    </w:p>
    <w:p w14:paraId="1F5CAA84" w14:textId="77777777" w:rsidR="00813490" w:rsidRPr="00397EEA" w:rsidRDefault="00813490" w:rsidP="00813490">
      <w:r w:rsidRPr="00397EEA">
        <w:t xml:space="preserve">На сайте </w:t>
      </w:r>
      <w:r w:rsidR="00397EEA">
        <w:t>«</w:t>
      </w:r>
      <w:r w:rsidRPr="00397EEA">
        <w:t>Открытые НПА</w:t>
      </w:r>
      <w:r w:rsidR="00397EEA">
        <w:t>»</w:t>
      </w:r>
      <w:r w:rsidRPr="00397EEA">
        <w:t xml:space="preserve"> опубликован перечень документов для получения заключения ВКК на стоматологические услуги. </w:t>
      </w:r>
    </w:p>
    <w:p w14:paraId="41063F74" w14:textId="77777777" w:rsidR="00813490" w:rsidRPr="00397EEA" w:rsidRDefault="00813490" w:rsidP="00813490">
      <w:r w:rsidRPr="00397EEA">
        <w:t>Также нужно будет заполнить форму, с которой можно будет ознакомиться по этой ссылке.</w:t>
      </w:r>
    </w:p>
    <w:p w14:paraId="27BD1325" w14:textId="77777777" w:rsidR="00813490" w:rsidRPr="00397EEA" w:rsidRDefault="00813490" w:rsidP="00813490">
      <w:r w:rsidRPr="00397EEA">
        <w:t xml:space="preserve">После того, как комиссия выдаст заявителю заключение, на его счет в течение 5 рабочих дней поступят деньги. </w:t>
      </w:r>
    </w:p>
    <w:p w14:paraId="1B94294B" w14:textId="77777777" w:rsidR="00813490" w:rsidRPr="00397EEA" w:rsidRDefault="00813490" w:rsidP="00813490">
      <w:r w:rsidRPr="00397EEA">
        <w:lastRenderedPageBreak/>
        <w:t>Кроме этого, из правил использования единовременных пенсионных выплат на лечение предлагается исключить пункт о неограниченном использовании единовременных пенсионных выплат на лечение.</w:t>
      </w:r>
    </w:p>
    <w:p w14:paraId="1E00D43A" w14:textId="77777777" w:rsidR="00813490" w:rsidRPr="00397EEA" w:rsidRDefault="00813490" w:rsidP="00813490">
      <w:r w:rsidRPr="00397EEA">
        <w:t>Документ вынесен на публичное обсуждение до 12 сентября 2024 года.</w:t>
      </w:r>
    </w:p>
    <w:p w14:paraId="20DA6E78" w14:textId="77777777" w:rsidR="00813490" w:rsidRPr="00397EEA" w:rsidRDefault="00813490" w:rsidP="00813490">
      <w:r w:rsidRPr="00397EEA">
        <w:t xml:space="preserve">Ранее сообщалось о том, что Минздрав хочет запретить казахстанцам лечить зубы за счет пенсионных сбережений. Спустя некоторое время вице-министр здравоохранения РК Ержан Нурлыбаев сказал, что в Казахстане разрабатывают новый механизм использования пенсионных накоплений для оплаты стоматологических услуг. Новый механизм позволяет сохранить для населения возможность использования пенсионных накоплений для оплаты стоматологических услуг. </w:t>
      </w:r>
    </w:p>
    <w:p w14:paraId="76CCAA50" w14:textId="77777777" w:rsidR="00111D7C" w:rsidRPr="00397EEA" w:rsidRDefault="00997114" w:rsidP="00813490">
      <w:hyperlink r:id="rId35" w:history="1">
        <w:r w:rsidR="00813490" w:rsidRPr="00397EEA">
          <w:rPr>
            <w:rStyle w:val="a3"/>
          </w:rPr>
          <w:t>https://rus.azattyq-ruhy.kz/news/71615-dlia-lecheniia-zubov-za-schet-pensionnykh-nakoplenii-kazakhstantsam-nuzhno-budet-proiti-vkk</w:t>
        </w:r>
      </w:hyperlink>
    </w:p>
    <w:p w14:paraId="24AEAC29" w14:textId="77777777" w:rsidR="00C93890" w:rsidRPr="00397EEA" w:rsidRDefault="00C93890" w:rsidP="00C93890">
      <w:pPr>
        <w:pStyle w:val="2"/>
      </w:pPr>
      <w:bookmarkStart w:id="146" w:name="_Toc175897267"/>
      <w:r w:rsidRPr="00397EEA">
        <w:t>Total.kz, 29.08.2024, Инвестиционный доход ЕНПФ превысил 1,38 триллиона тенге</w:t>
      </w:r>
      <w:bookmarkEnd w:id="146"/>
    </w:p>
    <w:p w14:paraId="5C0F665A" w14:textId="77777777" w:rsidR="00C93890" w:rsidRPr="00397EEA" w:rsidRDefault="00C93890" w:rsidP="00CB047E">
      <w:pPr>
        <w:pStyle w:val="3"/>
      </w:pPr>
      <w:bookmarkStart w:id="147" w:name="_Toc175897268"/>
      <w:r w:rsidRPr="00397EEA">
        <w:t>За 7 месяцев 2024 года чистый инвестиционный доход Единого пенсионного фонда превысил 1,38 триллиона тенге, что больше на 619,3 миллиарда тенге, или 81,4 % показателя аналогичного периода прошлого года, сообщает Total.kz.</w:t>
      </w:r>
      <w:bookmarkEnd w:id="147"/>
    </w:p>
    <w:p w14:paraId="55D67325" w14:textId="77777777" w:rsidR="00C93890" w:rsidRPr="00397EEA" w:rsidRDefault="00C93890" w:rsidP="00C93890">
      <w:r w:rsidRPr="00397EEA">
        <w:t>Доходность пенсионных активов ЕНПФ, образованных за счет обязательных пенсионных взносов, обязательных профессиональных пенсионных взносов, добровольных пенсионных взносов за 7 месяцев 2024 года составила 7,51% при инфляции за данный период 4,7%.</w:t>
      </w:r>
    </w:p>
    <w:p w14:paraId="1F0C343A" w14:textId="77777777" w:rsidR="00C93890" w:rsidRPr="00397EEA" w:rsidRDefault="00C93890" w:rsidP="00C93890">
      <w:r w:rsidRPr="00397EEA">
        <w:t>Если рассматривать годовую доходность пенсионных активов, то она по состоянию на 1 августа 2024 составила 12,72%, а инфляция — 8,6%.</w:t>
      </w:r>
    </w:p>
    <w:p w14:paraId="323C4A1F" w14:textId="77777777" w:rsidR="00C93890" w:rsidRPr="00397EEA" w:rsidRDefault="00C93890" w:rsidP="00C93890">
      <w:r w:rsidRPr="00397EEA">
        <w:t>Доходность пенсионных активов ЕНПФ, сформированных за счет обязательных пенсионных взносов работодателя, по состоянию на 1 августа 2024 с начала года — 2,53%.</w:t>
      </w:r>
    </w:p>
    <w:p w14:paraId="4DF451D1" w14:textId="77777777" w:rsidR="00813490" w:rsidRPr="00397EEA" w:rsidRDefault="00997114" w:rsidP="00C93890">
      <w:hyperlink r:id="rId36" w:history="1">
        <w:r w:rsidR="00C93890" w:rsidRPr="00397EEA">
          <w:rPr>
            <w:rStyle w:val="a3"/>
          </w:rPr>
          <w:t>https://total.kz/ru/news/finansi/investitsionnii_dohod_kazahstantsev_previsil_138_trilliona_tenge_date_2024_08_29_10_27_25</w:t>
        </w:r>
      </w:hyperlink>
    </w:p>
    <w:p w14:paraId="30F38E80" w14:textId="77777777" w:rsidR="00C93890" w:rsidRPr="00397EEA" w:rsidRDefault="00C93890" w:rsidP="00C93890"/>
    <w:p w14:paraId="0AAE9A99" w14:textId="77777777" w:rsidR="00111D7C" w:rsidRPr="00397EEA" w:rsidRDefault="00111D7C" w:rsidP="00111D7C">
      <w:pPr>
        <w:pStyle w:val="10"/>
      </w:pPr>
      <w:bookmarkStart w:id="148" w:name="_Toc99271715"/>
      <w:bookmarkStart w:id="149" w:name="_Toc99318660"/>
      <w:bookmarkStart w:id="150" w:name="_Toc165991080"/>
      <w:bookmarkStart w:id="151" w:name="_Toc175897269"/>
      <w:r w:rsidRPr="00397EEA">
        <w:lastRenderedPageBreak/>
        <w:t>Новости пенсионной отрасли стран дальнего зарубежья</w:t>
      </w:r>
      <w:bookmarkEnd w:id="148"/>
      <w:bookmarkEnd w:id="149"/>
      <w:bookmarkEnd w:id="150"/>
      <w:bookmarkEnd w:id="151"/>
    </w:p>
    <w:p w14:paraId="676D87BE" w14:textId="77777777" w:rsidR="00117B8B" w:rsidRPr="00397EEA" w:rsidRDefault="00117B8B" w:rsidP="00117B8B">
      <w:pPr>
        <w:pStyle w:val="2"/>
      </w:pPr>
      <w:bookmarkStart w:id="152" w:name="_Toc175897270"/>
      <w:r w:rsidRPr="00397EEA">
        <w:t>Пенсия.pro, 29.08.2024, Австралийский пенсионный фонд вложит миллиарды долларов в покупку энергетической компании</w:t>
      </w:r>
      <w:bookmarkEnd w:id="152"/>
    </w:p>
    <w:p w14:paraId="6FFD6BA6" w14:textId="77777777" w:rsidR="00117B8B" w:rsidRPr="00397EEA" w:rsidRDefault="00117B8B" w:rsidP="00CB047E">
      <w:pPr>
        <w:pStyle w:val="3"/>
      </w:pPr>
      <w:bookmarkStart w:id="153" w:name="_Toc175897271"/>
      <w:r w:rsidRPr="00397EEA">
        <w:t>Австралийский пенсионный фонд Australian Retirement Trust собрался выкупить контрольный пакет акций одного из крупнейших новозеландских дистрибьюторов электроэнергии и газа — компании Powerco. Стоимость пакета оценивают в 2,2 млрд долларов.</w:t>
      </w:r>
      <w:bookmarkEnd w:id="153"/>
    </w:p>
    <w:p w14:paraId="6817A129" w14:textId="77777777" w:rsidR="00117B8B" w:rsidRPr="00397EEA" w:rsidRDefault="00117B8B" w:rsidP="00117B8B">
      <w:r w:rsidRPr="00397EEA">
        <w:t>В рамках соглашения, которое планируется подписать в течение недели, австралийский фонд приобретет 33 % акций Powerco, увеличив долю до 58 %. Компания занимается распределением электроэнергии и природного газа для бытовых и коммерческих потребителей, а также предлагает решения для автономного электросетевого рынка и генерации электроэнергии в масштабах коммунальных предприятий.</w:t>
      </w:r>
    </w:p>
    <w:p w14:paraId="6D8E846C" w14:textId="77777777" w:rsidR="00117B8B" w:rsidRPr="00397EEA" w:rsidRDefault="00117B8B" w:rsidP="00117B8B">
      <w:r w:rsidRPr="00397EEA">
        <w:t>Australian Retirement Trust — австралийский суперфонд, управляющий пенсионными накоплениями на сумму более 200 млрд долларов. Его клиентская база насчитывает 2 млн человек.</w:t>
      </w:r>
    </w:p>
    <w:p w14:paraId="0F7B1DF8" w14:textId="77777777" w:rsidR="00117B8B" w:rsidRPr="00397EEA" w:rsidRDefault="00117B8B" w:rsidP="00117B8B">
      <w:r w:rsidRPr="00397EEA">
        <w:t>Некоторые зарубежные фонды, в отличие от российских, ограниченных консервативным законодательством, регулярно вкладывают пенсионные накопления в бизнес и рисковые активы. Правда, не всегда это приносит положительный результат. Например, норвежский фонд погорел на инвестициях в возобновляемую энергетику, потеряв на этом почти 18 % вложений.</w:t>
      </w:r>
    </w:p>
    <w:p w14:paraId="01397AF4" w14:textId="77777777" w:rsidR="00117B8B" w:rsidRPr="00397EEA" w:rsidRDefault="00997114" w:rsidP="00117B8B">
      <w:hyperlink r:id="rId37" w:history="1">
        <w:r w:rsidR="00117B8B" w:rsidRPr="00397EEA">
          <w:rPr>
            <w:rStyle w:val="a3"/>
          </w:rPr>
          <w:t>https://pensiya.pro/news/avstralijskij-pensionnyj-fond-vlozhit-milliardy-dollarov-v-pokupku-energeticheskoj-kompanii/</w:t>
        </w:r>
      </w:hyperlink>
      <w:r w:rsidR="00117B8B" w:rsidRPr="00397EEA">
        <w:t xml:space="preserve"> </w:t>
      </w:r>
    </w:p>
    <w:p w14:paraId="152E9D8A" w14:textId="77777777" w:rsidR="00117B8B" w:rsidRPr="00397EEA" w:rsidRDefault="00117B8B" w:rsidP="00117B8B">
      <w:pPr>
        <w:pStyle w:val="2"/>
      </w:pPr>
      <w:bookmarkStart w:id="154" w:name="_Toc175897272"/>
      <w:bookmarkEnd w:id="117"/>
      <w:r w:rsidRPr="00397EEA">
        <w:t>Пенсия.pro, 29.08.2024, 92 % американцев готовятся работать на пенсии — опрос</w:t>
      </w:r>
      <w:bookmarkEnd w:id="154"/>
    </w:p>
    <w:p w14:paraId="385E61C5" w14:textId="77777777" w:rsidR="00117B8B" w:rsidRPr="00397EEA" w:rsidRDefault="00117B8B" w:rsidP="00CB047E">
      <w:pPr>
        <w:pStyle w:val="3"/>
      </w:pPr>
      <w:bookmarkStart w:id="155" w:name="_Toc175897273"/>
      <w:r w:rsidRPr="00397EEA">
        <w:t>Почти все американцы (92 %) считают, что с высокой долей вероятности им придется выйти на заслуженный отдых позже, чем хотелось бы. 80 % готовы продолжить работу после наступления пенсионного возраста, пишет Fox Business.</w:t>
      </w:r>
      <w:bookmarkEnd w:id="155"/>
    </w:p>
    <w:p w14:paraId="17D98F1C" w14:textId="77777777" w:rsidR="00117B8B" w:rsidRPr="00397EEA" w:rsidRDefault="00117B8B" w:rsidP="00117B8B">
      <w:r w:rsidRPr="00397EEA">
        <w:t>Продолжить трудиться в старости граждане США вынуждены из-за опасения финансовой неустойчивости. Обузой для близких боятся стать около 39 % опрошенных, столько же респондентов выразили опасение, что у них не хватит денег на неотложную медицинскую помощь или другие непредвиденные расходы.</w:t>
      </w:r>
    </w:p>
    <w:p w14:paraId="1053DA60" w14:textId="77777777" w:rsidR="00117B8B" w:rsidRPr="00397EEA" w:rsidRDefault="00117B8B" w:rsidP="00117B8B">
      <w:r w:rsidRPr="00397EEA">
        <w:t>Более 60 % заявили, что боятся выхода на пенсию больше, чем смерти, а для 64 % думать об этом страшнее, чем о разводе.</w:t>
      </w:r>
    </w:p>
    <w:p w14:paraId="7BED4700" w14:textId="77777777" w:rsidR="00117B8B" w:rsidRPr="00397EEA" w:rsidRDefault="00117B8B" w:rsidP="00117B8B">
      <w:r w:rsidRPr="00397EEA">
        <w:t>72 % взрослых граждан США опасаются, что ко времени их выхода на пенсию деньги в фонде социального обеспечения закончатся. Таковы результаты другого опроса — от Национального института пенсионного обеспечения. При этом каждый четвертый американец опасается, что ни копейки не получит из того пособия по социальному обеспечению, которое заработал.</w:t>
      </w:r>
    </w:p>
    <w:p w14:paraId="58C9B8B2" w14:textId="77777777" w:rsidR="00CA32BC" w:rsidRPr="00397EEA" w:rsidRDefault="00997114" w:rsidP="00117B8B">
      <w:hyperlink r:id="rId38" w:history="1">
        <w:r w:rsidR="00117B8B" w:rsidRPr="00397EEA">
          <w:rPr>
            <w:rStyle w:val="a3"/>
          </w:rPr>
          <w:t>https://pensiya.pro/news/92-amerikanczev-gotovyatsya-rabotat-na-pensii-opros/</w:t>
        </w:r>
      </w:hyperlink>
    </w:p>
    <w:p w14:paraId="4DBF5B81" w14:textId="77777777" w:rsidR="00C430ED" w:rsidRPr="00397EEA" w:rsidRDefault="00C430ED" w:rsidP="00C430ED">
      <w:pPr>
        <w:pStyle w:val="2"/>
      </w:pPr>
      <w:bookmarkStart w:id="156" w:name="_Toc175897274"/>
      <w:r w:rsidRPr="00397EEA">
        <w:t>РИА Новости, 29.08.2024, Правительство Польши не будет повышать пенсионный возраст - министр</w:t>
      </w:r>
      <w:bookmarkEnd w:id="156"/>
    </w:p>
    <w:p w14:paraId="412651B5" w14:textId="77777777" w:rsidR="00C430ED" w:rsidRPr="00397EEA" w:rsidRDefault="00C430ED" w:rsidP="00CB047E">
      <w:pPr>
        <w:pStyle w:val="3"/>
      </w:pPr>
      <w:bookmarkStart w:id="157" w:name="_Toc175897275"/>
      <w:r w:rsidRPr="00397EEA">
        <w:t>Действующее правительство Польши не будет повышать пенсионный возраст, заявила министр фондов и региональной политики республики Катажина Пельчиньская-Наленьч в эфире радиостанции RMF FM.</w:t>
      </w:r>
      <w:bookmarkEnd w:id="157"/>
    </w:p>
    <w:p w14:paraId="76197188" w14:textId="77777777" w:rsidR="00C430ED" w:rsidRPr="00397EEA" w:rsidRDefault="00C430ED" w:rsidP="00C430ED">
      <w:r w:rsidRPr="00397EEA">
        <w:t>В начале августа она не исключила, что в стране будет повышен пенсионный возраст.</w:t>
      </w:r>
    </w:p>
    <w:p w14:paraId="49255402" w14:textId="77777777" w:rsidR="00C430ED" w:rsidRPr="00397EEA" w:rsidRDefault="00397EEA" w:rsidP="00C430ED">
      <w:r>
        <w:t>«</w:t>
      </w:r>
      <w:r w:rsidR="00C430ED" w:rsidRPr="00397EEA">
        <w:t>Это правительство не повысит пенсионный возраст. Давайте закроем этот вопрос</w:t>
      </w:r>
      <w:r>
        <w:t>»</w:t>
      </w:r>
      <w:r w:rsidR="00C430ED" w:rsidRPr="00397EEA">
        <w:t>, - сказала Пельчиньская-Наленьч.</w:t>
      </w:r>
    </w:p>
    <w:p w14:paraId="3814B641" w14:textId="77777777" w:rsidR="00C430ED" w:rsidRPr="00397EEA" w:rsidRDefault="00C430ED" w:rsidP="00C430ED">
      <w:r w:rsidRPr="00397EEA">
        <w:t xml:space="preserve">Она отметила, что правительство намерен сосредоточиться на </w:t>
      </w:r>
      <w:r w:rsidR="00397EEA">
        <w:t>«</w:t>
      </w:r>
      <w:r w:rsidRPr="00397EEA">
        <w:t>профессиональной активизации</w:t>
      </w:r>
      <w:r w:rsidR="00397EEA">
        <w:t>»</w:t>
      </w:r>
      <w:r w:rsidRPr="00397EEA">
        <w:t xml:space="preserve"> жителей Польши, предоставляя больше возможности работать молодым родителям и пенсионерам.</w:t>
      </w:r>
    </w:p>
    <w:p w14:paraId="0DA0BA2D" w14:textId="77777777" w:rsidR="00117B8B" w:rsidRDefault="00C430ED" w:rsidP="00C430ED">
      <w:r w:rsidRPr="00397EEA">
        <w:t>Стандартный возраст выхода на пенсию в Польше составляет 60 лет для женщин и 65 лет для мужчин. В 2013 году правительство повысило пенсионный возраст для мужчин и женщин до 67 лет. Эти изменения были отменены в 2017 году.</w:t>
      </w:r>
    </w:p>
    <w:p w14:paraId="6A130CAA" w14:textId="77777777" w:rsidR="00C430ED" w:rsidRPr="001E1CEF" w:rsidRDefault="00C430ED" w:rsidP="00C430ED"/>
    <w:sectPr w:rsidR="00C430ED" w:rsidRPr="001E1CEF" w:rsidSect="00B01BEA">
      <w:headerReference w:type="default" r:id="rId39"/>
      <w:footerReference w:type="defaul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D6326" w14:textId="77777777" w:rsidR="00997114" w:rsidRDefault="00997114">
      <w:r>
        <w:separator/>
      </w:r>
    </w:p>
  </w:endnote>
  <w:endnote w:type="continuationSeparator" w:id="0">
    <w:p w14:paraId="499C2F72" w14:textId="77777777" w:rsidR="00997114" w:rsidRDefault="0099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8B12" w14:textId="1E5E5FD3" w:rsidR="00046CCA" w:rsidRPr="00D64E5C" w:rsidRDefault="00046CCA"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60EBE" w:rsidRPr="00460EBE">
      <w:rPr>
        <w:rFonts w:ascii="Cambria" w:hAnsi="Cambria"/>
        <w:b/>
        <w:noProof/>
      </w:rPr>
      <w:t>19</w:t>
    </w:r>
    <w:r w:rsidRPr="00CB47BF">
      <w:rPr>
        <w:b/>
      </w:rPr>
      <w:fldChar w:fldCharType="end"/>
    </w:r>
  </w:p>
  <w:p w14:paraId="11DDDFEC" w14:textId="77777777" w:rsidR="00046CCA" w:rsidRPr="00D15988" w:rsidRDefault="00046CCA"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31D1F" w14:textId="77777777" w:rsidR="00997114" w:rsidRDefault="00997114">
      <w:r>
        <w:separator/>
      </w:r>
    </w:p>
  </w:footnote>
  <w:footnote w:type="continuationSeparator" w:id="0">
    <w:p w14:paraId="663B811D" w14:textId="77777777" w:rsidR="00997114" w:rsidRDefault="00997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286C" w14:textId="77777777" w:rsidR="00046CCA" w:rsidRDefault="00997114" w:rsidP="00122493">
    <w:pPr>
      <w:tabs>
        <w:tab w:val="left" w:pos="555"/>
        <w:tab w:val="right" w:pos="9071"/>
      </w:tabs>
      <w:jc w:val="center"/>
    </w:pPr>
    <w:r>
      <w:rPr>
        <w:noProof/>
      </w:rPr>
      <w:pict w14:anchorId="1C7486E5">
        <v:roundrect id="_x0000_s2058" style="position:absolute;left:0;text-align:left;margin-left:127.5pt;margin-top:-13.7pt;width:188.6pt;height:31.25pt;z-index:1" arcsize="10923f" stroked="f">
          <v:textbox style="mso-next-textbox:#_x0000_s2058">
            <w:txbxContent>
              <w:p w14:paraId="4D862412" w14:textId="77777777" w:rsidR="00046CCA" w:rsidRPr="000C041B" w:rsidRDefault="00046CCA" w:rsidP="00122493">
                <w:pPr>
                  <w:ind w:right="423"/>
                  <w:jc w:val="center"/>
                  <w:rPr>
                    <w:rFonts w:cs="Arial"/>
                    <w:b/>
                    <w:color w:val="EEECE1"/>
                    <w:sz w:val="6"/>
                    <w:szCs w:val="6"/>
                  </w:rPr>
                </w:pPr>
                <w:r w:rsidRPr="000C041B">
                  <w:rPr>
                    <w:rFonts w:cs="Arial"/>
                    <w:b/>
                    <w:color w:val="EEECE1"/>
                    <w:sz w:val="6"/>
                    <w:szCs w:val="6"/>
                  </w:rPr>
                  <w:t xml:space="preserve">        </w:t>
                </w:r>
              </w:p>
              <w:p w14:paraId="2E229B22" w14:textId="77777777" w:rsidR="00046CCA" w:rsidRPr="00D15988" w:rsidRDefault="00046CC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0A643F8" w14:textId="77777777" w:rsidR="00046CCA" w:rsidRPr="007336C7" w:rsidRDefault="00046CCA" w:rsidP="00122493">
                <w:pPr>
                  <w:ind w:right="423"/>
                  <w:rPr>
                    <w:rFonts w:cs="Arial"/>
                  </w:rPr>
                </w:pPr>
              </w:p>
              <w:p w14:paraId="058A21B1" w14:textId="77777777" w:rsidR="00046CCA" w:rsidRPr="00267F53" w:rsidRDefault="00046CCA" w:rsidP="00122493"/>
            </w:txbxContent>
          </v:textbox>
        </v:roundrect>
      </w:pict>
    </w:r>
    <w:r w:rsidR="00046CCA">
      <w:t xml:space="preserve">             </w:t>
    </w:r>
  </w:p>
  <w:p w14:paraId="0C216458" w14:textId="77777777" w:rsidR="00046CCA" w:rsidRDefault="00046CCA"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997114">
      <w:rPr>
        <w:noProof/>
      </w:rPr>
      <w:fldChar w:fldCharType="begin"/>
    </w:r>
    <w:r w:rsidR="00997114">
      <w:rPr>
        <w:noProof/>
      </w:rPr>
      <w:instrText xml:space="preserve"> </w:instrText>
    </w:r>
    <w:r w:rsidR="00997114">
      <w:rPr>
        <w:noProof/>
      </w:rPr>
      <w:instrText>INCLUDEPICTURE  "cid:image001.jpg@01DAABA8.0A343520" \* MERGEFORMATINET</w:instrText>
    </w:r>
    <w:r w:rsidR="00997114">
      <w:rPr>
        <w:noProof/>
      </w:rPr>
      <w:instrText xml:space="preserve"> </w:instrText>
    </w:r>
    <w:r w:rsidR="00997114">
      <w:rPr>
        <w:noProof/>
      </w:rPr>
      <w:fldChar w:fldCharType="separate"/>
    </w:r>
    <w:r w:rsidR="00460EBE">
      <w:rPr>
        <w:noProof/>
      </w:rPr>
      <w:pict w14:anchorId="3D67A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997114">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CCA"/>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5A57"/>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17B8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979"/>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47BA2"/>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C6551"/>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97EEA"/>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6AA7"/>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56DFB"/>
    <w:rsid w:val="004600A2"/>
    <w:rsid w:val="00460EBE"/>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2AF"/>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2D02"/>
    <w:rsid w:val="004D3D11"/>
    <w:rsid w:val="004D4C4A"/>
    <w:rsid w:val="004D5027"/>
    <w:rsid w:val="004D5211"/>
    <w:rsid w:val="004D623A"/>
    <w:rsid w:val="004D6612"/>
    <w:rsid w:val="004D6763"/>
    <w:rsid w:val="004D6A2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E7DB0"/>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0F37"/>
    <w:rsid w:val="00631084"/>
    <w:rsid w:val="0063117B"/>
    <w:rsid w:val="00631A7D"/>
    <w:rsid w:val="00631D98"/>
    <w:rsid w:val="00631F42"/>
    <w:rsid w:val="006337DA"/>
    <w:rsid w:val="00634115"/>
    <w:rsid w:val="00634D16"/>
    <w:rsid w:val="00635DFB"/>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1EBC"/>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33B"/>
    <w:rsid w:val="00722623"/>
    <w:rsid w:val="0072358E"/>
    <w:rsid w:val="00724BF6"/>
    <w:rsid w:val="00725BF0"/>
    <w:rsid w:val="0072609B"/>
    <w:rsid w:val="00726551"/>
    <w:rsid w:val="00726F24"/>
    <w:rsid w:val="00726F8C"/>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4AFB"/>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49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6769"/>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0A0B"/>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01B"/>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6522"/>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114"/>
    <w:rsid w:val="00997C36"/>
    <w:rsid w:val="009A008B"/>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68D"/>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4A50"/>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09C"/>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68D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8EC"/>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61F"/>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0ED"/>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890"/>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47E"/>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35E"/>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BB8"/>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774"/>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17A"/>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1CE1"/>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5AEC"/>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5E8F847D"/>
  <w15:docId w15:val="{66D8A304-FBC8-48AB-9A6F-78BEE815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TitleDoubles">
    <w:name w:val="TitleDoubles"/>
    <w:basedOn w:val="a"/>
    <w:link w:val="TitleDoublesChar"/>
    <w:qFormat/>
    <w:rsid w:val="001A0979"/>
    <w:pPr>
      <w:spacing w:before="120"/>
      <w:jc w:val="left"/>
    </w:pPr>
    <w:rPr>
      <w:rFonts w:ascii="Arial" w:hAnsi="Arial"/>
      <w:b/>
      <w:bCs/>
      <w:color w:val="808080"/>
      <w:sz w:val="20"/>
    </w:rPr>
  </w:style>
  <w:style w:type="character" w:customStyle="1" w:styleId="TitleDoublesChar">
    <w:name w:val="TitleDoubles Char"/>
    <w:link w:val="TitleDoubles"/>
    <w:rsid w:val="001A0979"/>
    <w:rPr>
      <w:rFonts w:ascii="Arial" w:hAnsi="Arial"/>
      <w:b/>
      <w:bCs/>
      <w:color w:val="8080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sfera.ru/press-release/obem-portfeley-npf-i-sfr-dostig-77-trln-rubley-vo-ii-kvartale" TargetMode="External"/><Relationship Id="rId13" Type="http://schemas.openxmlformats.org/officeDocument/2006/relationships/hyperlink" Target="https://i38.ru/dengi-pervie/v-irkutskoy-oblasti-stali-chasche-motivirovat-kandidatov-korporativnoy-pensiey" TargetMode="External"/><Relationship Id="rId18" Type="http://schemas.openxmlformats.org/officeDocument/2006/relationships/hyperlink" Target="https://bloknot.ru/obshhestvo/pochemu-ya-ne-prishla-ranshe-ya-by-sekonomila-kuchu-deneg-v-moskve-zavershaetsya-nedelya-finansovoj-gramotnosti-1331603.html" TargetMode="External"/><Relationship Id="rId26" Type="http://schemas.openxmlformats.org/officeDocument/2006/relationships/hyperlink" Target="https://ria.ru/20240829/sluzhba-1969097198.htm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ussia24.pro/moscow/386478811/" TargetMode="External"/><Relationship Id="rId34" Type="http://schemas.openxmlformats.org/officeDocument/2006/relationships/hyperlink" Target="https://kz.kursiv.media/2024-08-29/zhzh-pensiiiz/"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rbc.ru/1068131155-v-sverdlovskoy-oblasti-za-i-polugodie-2024-goda-bylo-opublikovano-3-tys-vakansii-s-predlozheniem-korporativnoy-pensionnoy-programmy.html" TargetMode="External"/><Relationship Id="rId17" Type="http://schemas.openxmlformats.org/officeDocument/2006/relationships/hyperlink" Target="http://www.napf.ru/247533" TargetMode="External"/><Relationship Id="rId25" Type="http://schemas.openxmlformats.org/officeDocument/2006/relationships/hyperlink" Target="https://abnews.ru/ug/news/krasnodar/2024/8/29/summa-dogovorov-po-programme-dolgosrochnyh-dogovorov-na-kubani-prevysila-430-mln-rublej" TargetMode="External"/><Relationship Id="rId33" Type="http://schemas.openxmlformats.org/officeDocument/2006/relationships/hyperlink" Target="https://yur-gazeta.ru/ekonomika/pravila-rascheta-straxovyx-pensij-s-2026-goda-izmenyatsya-podrobnosti.html" TargetMode="External"/><Relationship Id="rId38" Type="http://schemas.openxmlformats.org/officeDocument/2006/relationships/hyperlink" Target="https://pensiya.pro/news/92-amerikanczev-gotovyatsya-rabotat-na-pensii-opro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news-life.pro/moscow/386478811/" TargetMode="External"/><Relationship Id="rId29" Type="http://schemas.openxmlformats.org/officeDocument/2006/relationships/hyperlink" Target="https://primpress.ru/article/11543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469" TargetMode="External"/><Relationship Id="rId24" Type="http://schemas.openxmlformats.org/officeDocument/2006/relationships/hyperlink" Target="https://expert-ural.com/articles/sverdlovchane-otlozhili-cherez-programmu-dolgosrochnih-pensionnih-sberezheniy-polmilliarda.html" TargetMode="External"/><Relationship Id="rId32" Type="http://schemas.openxmlformats.org/officeDocument/2006/relationships/hyperlink" Target="https://deita.ru/article/557398" TargetMode="External"/><Relationship Id="rId37" Type="http://schemas.openxmlformats.org/officeDocument/2006/relationships/hyperlink" Target="https://pensiya.pro/news/avstralijskij-pensionnyj-fond-vlozhit-milliardy-dollarov-v-pokupku-energeticheskoj-kompanii/"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moscow.media/moscow/386478811/" TargetMode="External"/><Relationship Id="rId28" Type="http://schemas.openxmlformats.org/officeDocument/2006/relationships/hyperlink" Target="https://actualnews.org/exclusive/530031-jurist-solovev-zajavil-chto-domohozjajki-mogut-sformirovat-pensiju-cherez-vznosy-v-socfond.html" TargetMode="External"/><Relationship Id="rId36" Type="http://schemas.openxmlformats.org/officeDocument/2006/relationships/hyperlink" Target="https://total.kz/ru/news/finansi/investitsionnii_dohod_kazahstantsev_previsil_138_trilliona_tenge_date_2024_08_29_10_27_25" TargetMode="External"/><Relationship Id="rId10" Type="http://schemas.openxmlformats.org/officeDocument/2006/relationships/hyperlink" Target="https://www.interfax.ru/business/978687" TargetMode="External"/><Relationship Id="rId19" Type="http://schemas.openxmlformats.org/officeDocument/2006/relationships/hyperlink" Target="https://mybiysk.ru/society/pochemu-ya-ne-prishla-ranshe-ya-by-sekonomila-kuchu-deneg-v-moskve-zavershilas-nedelya-finansovoj-gramotnosti-498774" TargetMode="External"/><Relationship Id="rId31" Type="http://schemas.openxmlformats.org/officeDocument/2006/relationships/hyperlink" Target="https://primpress.ru/article/115476" TargetMode="External"/><Relationship Id="rId4" Type="http://schemas.openxmlformats.org/officeDocument/2006/relationships/webSettings" Target="webSettings.xml"/><Relationship Id="rId9" Type="http://schemas.openxmlformats.org/officeDocument/2006/relationships/hyperlink" Target="https://1prime.ru/20240829/rost-851207356.html" TargetMode="External"/><Relationship Id="rId14" Type="http://schemas.openxmlformats.org/officeDocument/2006/relationships/hyperlink" Target="https://www.pnp.ru/economics/cb-chislo-uchastnikov-programmy-dolgosrochnykh-sberezheniy-vyroslo-do-1-mln.html" TargetMode="External"/><Relationship Id="rId22" Type="http://schemas.openxmlformats.org/officeDocument/2006/relationships/hyperlink" Target="https://ria.city/moscow/386478811/" TargetMode="External"/><Relationship Id="rId27" Type="http://schemas.openxmlformats.org/officeDocument/2006/relationships/hyperlink" Target="https://pensiya.pro/news/pravitelstvo-opredelilos-s-nadbavkoj-k-pensii-za-trudovoj-stazh-na-ukraine/" TargetMode="External"/><Relationship Id="rId30" Type="http://schemas.openxmlformats.org/officeDocument/2006/relationships/hyperlink" Target="https://primpress.ru/article/115440" TargetMode="External"/><Relationship Id="rId35" Type="http://schemas.openxmlformats.org/officeDocument/2006/relationships/hyperlink" Target="https://rus.azattyq-ruhy.kz/news/71615-dlia-lecheniia-zubov-za-schet-pensionnykh-nakoplenii-kazakhstantsam-nuzhno-budet-proiti-vk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50</Pages>
  <Words>19275</Words>
  <Characters>109870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128888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Андрей</cp:lastModifiedBy>
  <cp:revision>18</cp:revision>
  <cp:lastPrinted>2009-04-02T10:14:00Z</cp:lastPrinted>
  <dcterms:created xsi:type="dcterms:W3CDTF">2024-08-21T09:43:00Z</dcterms:created>
  <dcterms:modified xsi:type="dcterms:W3CDTF">2024-08-30T05:12:00Z</dcterms:modified>
  <cp:category>И-Консалтинг</cp:category>
  <cp:contentStatus>И-Консалтинг</cp:contentStatus>
</cp:coreProperties>
</file>