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3D7EF" w14:textId="77777777" w:rsidR="00561476" w:rsidRPr="00D40509" w:rsidRDefault="00F334F0" w:rsidP="00561476">
      <w:pPr>
        <w:jc w:val="center"/>
        <w:rPr>
          <w:b/>
          <w:sz w:val="36"/>
          <w:szCs w:val="36"/>
        </w:rPr>
      </w:pPr>
      <w:r>
        <w:rPr>
          <w:b/>
          <w:sz w:val="36"/>
          <w:szCs w:val="36"/>
        </w:rPr>
        <w:pict w14:anchorId="1F363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2A3FBAF3" w14:textId="77777777" w:rsidR="00561476" w:rsidRPr="00D40509" w:rsidRDefault="00561476" w:rsidP="00561476">
      <w:pPr>
        <w:jc w:val="center"/>
        <w:rPr>
          <w:b/>
          <w:sz w:val="36"/>
          <w:szCs w:val="36"/>
          <w:lang w:val="en-US"/>
        </w:rPr>
      </w:pPr>
    </w:p>
    <w:p w14:paraId="69F3CEEC" w14:textId="77777777" w:rsidR="000A4DD6" w:rsidRPr="00D40509" w:rsidRDefault="000A4DD6" w:rsidP="00561476">
      <w:pPr>
        <w:jc w:val="center"/>
        <w:rPr>
          <w:b/>
          <w:sz w:val="36"/>
          <w:szCs w:val="36"/>
          <w:lang w:val="en-US"/>
        </w:rPr>
      </w:pPr>
    </w:p>
    <w:p w14:paraId="49561AFC" w14:textId="77777777" w:rsidR="000A4DD6" w:rsidRPr="00D40509" w:rsidRDefault="000A4DD6" w:rsidP="00561476">
      <w:pPr>
        <w:jc w:val="center"/>
        <w:rPr>
          <w:b/>
          <w:sz w:val="36"/>
          <w:szCs w:val="36"/>
          <w:lang w:val="en-US"/>
        </w:rPr>
      </w:pPr>
    </w:p>
    <w:p w14:paraId="07561AEE" w14:textId="77777777" w:rsidR="000A4DD6" w:rsidRPr="00D40509" w:rsidRDefault="000A4DD6" w:rsidP="00561476">
      <w:pPr>
        <w:jc w:val="center"/>
        <w:rPr>
          <w:b/>
          <w:sz w:val="36"/>
          <w:szCs w:val="36"/>
          <w:lang w:val="en-US"/>
        </w:rPr>
      </w:pPr>
    </w:p>
    <w:p w14:paraId="0D53C6B9" w14:textId="77777777" w:rsidR="00561476" w:rsidRPr="00D40509" w:rsidRDefault="00561476" w:rsidP="00561476">
      <w:pPr>
        <w:tabs>
          <w:tab w:val="left" w:pos="5204"/>
        </w:tabs>
        <w:jc w:val="left"/>
        <w:rPr>
          <w:b/>
          <w:sz w:val="36"/>
          <w:szCs w:val="36"/>
        </w:rPr>
      </w:pPr>
      <w:r w:rsidRPr="00D40509">
        <w:rPr>
          <w:b/>
          <w:sz w:val="36"/>
          <w:szCs w:val="36"/>
        </w:rPr>
        <w:tab/>
      </w:r>
    </w:p>
    <w:p w14:paraId="61FB6BC4" w14:textId="77777777" w:rsidR="00561476" w:rsidRPr="00D40509" w:rsidRDefault="00561476" w:rsidP="00561476">
      <w:pPr>
        <w:jc w:val="center"/>
        <w:rPr>
          <w:b/>
          <w:sz w:val="36"/>
          <w:szCs w:val="36"/>
        </w:rPr>
      </w:pPr>
    </w:p>
    <w:p w14:paraId="05621FC3" w14:textId="77777777" w:rsidR="00561476" w:rsidRPr="00D40509" w:rsidRDefault="00CB76D2" w:rsidP="00561476">
      <w:pPr>
        <w:jc w:val="center"/>
        <w:rPr>
          <w:b/>
          <w:sz w:val="48"/>
          <w:szCs w:val="48"/>
        </w:rPr>
      </w:pPr>
      <w:bookmarkStart w:id="0" w:name="_Toc226196784"/>
      <w:bookmarkStart w:id="1" w:name="_Toc226197203"/>
      <w:r w:rsidRPr="00D40509">
        <w:rPr>
          <w:b/>
          <w:sz w:val="48"/>
          <w:szCs w:val="48"/>
        </w:rPr>
        <w:t>М</w:t>
      </w:r>
      <w:r w:rsidR="00561476" w:rsidRPr="00D40509">
        <w:rPr>
          <w:b/>
          <w:sz w:val="48"/>
          <w:szCs w:val="48"/>
        </w:rPr>
        <w:t>ониторинг СМИ</w:t>
      </w:r>
      <w:bookmarkEnd w:id="0"/>
      <w:bookmarkEnd w:id="1"/>
      <w:r w:rsidR="00561476" w:rsidRPr="00D40509">
        <w:rPr>
          <w:b/>
          <w:sz w:val="48"/>
          <w:szCs w:val="48"/>
        </w:rPr>
        <w:t xml:space="preserve"> РФ</w:t>
      </w:r>
    </w:p>
    <w:p w14:paraId="2069425A" w14:textId="77777777" w:rsidR="00561476" w:rsidRPr="00D40509" w:rsidRDefault="00561476" w:rsidP="00561476">
      <w:pPr>
        <w:jc w:val="center"/>
        <w:rPr>
          <w:b/>
          <w:sz w:val="48"/>
          <w:szCs w:val="48"/>
        </w:rPr>
      </w:pPr>
      <w:bookmarkStart w:id="2" w:name="_Toc226196785"/>
      <w:bookmarkStart w:id="3" w:name="_Toc226197204"/>
      <w:r w:rsidRPr="00D40509">
        <w:rPr>
          <w:b/>
          <w:sz w:val="48"/>
          <w:szCs w:val="48"/>
        </w:rPr>
        <w:t>по пенсионной тематике</w:t>
      </w:r>
      <w:bookmarkEnd w:id="2"/>
      <w:bookmarkEnd w:id="3"/>
    </w:p>
    <w:p w14:paraId="01232741" w14:textId="77777777" w:rsidR="008B6D1B" w:rsidRPr="00D40509" w:rsidRDefault="008B6D1B" w:rsidP="00C70A20">
      <w:pPr>
        <w:jc w:val="center"/>
        <w:rPr>
          <w:b/>
          <w:sz w:val="48"/>
          <w:szCs w:val="48"/>
        </w:rPr>
      </w:pPr>
    </w:p>
    <w:p w14:paraId="3CA590B3" w14:textId="77777777" w:rsidR="007D6FE5" w:rsidRPr="00D40509" w:rsidRDefault="007D6FE5" w:rsidP="00C70A20">
      <w:pPr>
        <w:jc w:val="center"/>
        <w:rPr>
          <w:b/>
          <w:sz w:val="36"/>
          <w:szCs w:val="36"/>
        </w:rPr>
      </w:pPr>
      <w:r w:rsidRPr="00D40509">
        <w:rPr>
          <w:b/>
          <w:sz w:val="36"/>
          <w:szCs w:val="36"/>
        </w:rPr>
        <w:t xml:space="preserve"> </w:t>
      </w:r>
    </w:p>
    <w:p w14:paraId="36AD03B0" w14:textId="77777777" w:rsidR="00C70A20" w:rsidRPr="00D40509" w:rsidRDefault="009D34B6" w:rsidP="00C70A20">
      <w:pPr>
        <w:jc w:val="center"/>
        <w:rPr>
          <w:b/>
          <w:sz w:val="40"/>
          <w:szCs w:val="40"/>
        </w:rPr>
      </w:pPr>
      <w:r w:rsidRPr="00D40509">
        <w:rPr>
          <w:b/>
          <w:sz w:val="40"/>
          <w:szCs w:val="40"/>
          <w:lang w:val="en-US"/>
        </w:rPr>
        <w:t>21</w:t>
      </w:r>
      <w:r w:rsidR="00CB6B64" w:rsidRPr="00D40509">
        <w:rPr>
          <w:b/>
          <w:sz w:val="40"/>
          <w:szCs w:val="40"/>
        </w:rPr>
        <w:t>.</w:t>
      </w:r>
      <w:r w:rsidR="001C5C5D" w:rsidRPr="00D40509">
        <w:rPr>
          <w:b/>
          <w:sz w:val="40"/>
          <w:szCs w:val="40"/>
          <w:lang w:val="en-US"/>
        </w:rPr>
        <w:t>1</w:t>
      </w:r>
      <w:r w:rsidR="00221629" w:rsidRPr="00D40509">
        <w:rPr>
          <w:b/>
          <w:sz w:val="40"/>
          <w:szCs w:val="40"/>
          <w:lang w:val="en-US"/>
        </w:rPr>
        <w:t>1</w:t>
      </w:r>
      <w:r w:rsidR="000214CF" w:rsidRPr="00D40509">
        <w:rPr>
          <w:b/>
          <w:sz w:val="40"/>
          <w:szCs w:val="40"/>
        </w:rPr>
        <w:t>.</w:t>
      </w:r>
      <w:r w:rsidR="007D6FE5" w:rsidRPr="00D40509">
        <w:rPr>
          <w:b/>
          <w:sz w:val="40"/>
          <w:szCs w:val="40"/>
        </w:rPr>
        <w:t>20</w:t>
      </w:r>
      <w:r w:rsidR="00EB57E7" w:rsidRPr="00D40509">
        <w:rPr>
          <w:b/>
          <w:sz w:val="40"/>
          <w:szCs w:val="40"/>
        </w:rPr>
        <w:t>2</w:t>
      </w:r>
      <w:r w:rsidR="005E66F0" w:rsidRPr="00D40509">
        <w:rPr>
          <w:b/>
          <w:sz w:val="40"/>
          <w:szCs w:val="40"/>
        </w:rPr>
        <w:t>4</w:t>
      </w:r>
      <w:r w:rsidR="00C70A20" w:rsidRPr="00D40509">
        <w:rPr>
          <w:b/>
          <w:sz w:val="40"/>
          <w:szCs w:val="40"/>
        </w:rPr>
        <w:t xml:space="preserve"> г</w:t>
      </w:r>
      <w:r w:rsidR="007D6FE5" w:rsidRPr="00D40509">
        <w:rPr>
          <w:b/>
          <w:sz w:val="40"/>
          <w:szCs w:val="40"/>
        </w:rPr>
        <w:t>.</w:t>
      </w:r>
    </w:p>
    <w:p w14:paraId="26734204" w14:textId="77777777" w:rsidR="007D6FE5" w:rsidRPr="00D40509" w:rsidRDefault="007D6FE5" w:rsidP="000C1A46">
      <w:pPr>
        <w:jc w:val="center"/>
        <w:rPr>
          <w:b/>
          <w:sz w:val="40"/>
          <w:szCs w:val="40"/>
        </w:rPr>
      </w:pPr>
    </w:p>
    <w:p w14:paraId="2EB86D72" w14:textId="77777777" w:rsidR="00C16C6D" w:rsidRPr="00D40509" w:rsidRDefault="00C16C6D" w:rsidP="000C1A46">
      <w:pPr>
        <w:jc w:val="center"/>
        <w:rPr>
          <w:b/>
          <w:sz w:val="40"/>
          <w:szCs w:val="40"/>
        </w:rPr>
      </w:pPr>
    </w:p>
    <w:p w14:paraId="744B67A8" w14:textId="77777777" w:rsidR="00C70A20" w:rsidRPr="00D40509" w:rsidRDefault="00C70A20" w:rsidP="000C1A46">
      <w:pPr>
        <w:jc w:val="center"/>
        <w:rPr>
          <w:b/>
          <w:sz w:val="40"/>
          <w:szCs w:val="40"/>
        </w:rPr>
      </w:pPr>
    </w:p>
    <w:p w14:paraId="0BD48F8C" w14:textId="77777777" w:rsidR="00C70A20" w:rsidRPr="00D40509" w:rsidRDefault="00C70A20" w:rsidP="000C1A46">
      <w:pPr>
        <w:jc w:val="center"/>
      </w:pPr>
    </w:p>
    <w:p w14:paraId="7493968B" w14:textId="77777777" w:rsidR="00CB76D2" w:rsidRPr="00D40509" w:rsidRDefault="00CB76D2" w:rsidP="000C1A46">
      <w:pPr>
        <w:jc w:val="center"/>
        <w:rPr>
          <w:b/>
          <w:sz w:val="40"/>
          <w:szCs w:val="40"/>
        </w:rPr>
      </w:pPr>
    </w:p>
    <w:p w14:paraId="5D034489" w14:textId="77777777" w:rsidR="009D66A1" w:rsidRPr="00D40509" w:rsidRDefault="009B23FE" w:rsidP="009B23FE">
      <w:pPr>
        <w:pStyle w:val="10"/>
        <w:jc w:val="center"/>
      </w:pPr>
      <w:r w:rsidRPr="00D40509">
        <w:br w:type="page"/>
      </w:r>
      <w:bookmarkStart w:id="4" w:name="_Toc396864626"/>
      <w:bookmarkStart w:id="5" w:name="_Toc183067272"/>
      <w:r w:rsidR="009D79CC" w:rsidRPr="00D40509">
        <w:lastRenderedPageBreak/>
        <w:t>Те</w:t>
      </w:r>
      <w:r w:rsidR="009D66A1" w:rsidRPr="00D40509">
        <w:t>мы</w:t>
      </w:r>
      <w:r w:rsidR="009D66A1" w:rsidRPr="00D40509">
        <w:rPr>
          <w:rFonts w:ascii="Arial Rounded MT Bold" w:hAnsi="Arial Rounded MT Bold"/>
        </w:rPr>
        <w:t xml:space="preserve"> </w:t>
      </w:r>
      <w:r w:rsidR="009D66A1" w:rsidRPr="00D40509">
        <w:t>дня</w:t>
      </w:r>
      <w:bookmarkEnd w:id="4"/>
      <w:bookmarkEnd w:id="5"/>
    </w:p>
    <w:p w14:paraId="6169274A" w14:textId="77777777" w:rsidR="00D20D92" w:rsidRPr="00D40509" w:rsidRDefault="00D20D92" w:rsidP="00676D5F">
      <w:pPr>
        <w:numPr>
          <w:ilvl w:val="0"/>
          <w:numId w:val="25"/>
        </w:numPr>
        <w:rPr>
          <w:i/>
        </w:rPr>
      </w:pPr>
      <w:r w:rsidRPr="00D40509">
        <w:rPr>
          <w:i/>
        </w:rPr>
        <w:t xml:space="preserve">Пенсионный налоговый вычет доступен тем, кто решил делать накопления на пенсию с помощью негосударственного пенсионного фонда или страховых взносов на добровольное пенсионное страхование. Кто может претендовать на этот социальный вычет и как его получить, какой размер уплаченных взносов на накопительную часть пенсии можно вернуть, какие документы потребуются и почему могут отказать, – </w:t>
      </w:r>
      <w:hyperlink w:anchor="a1" w:history="1">
        <w:r w:rsidRPr="00D40509">
          <w:rPr>
            <w:rStyle w:val="a3"/>
            <w:i/>
          </w:rPr>
          <w:t>в материале РИА Новости</w:t>
        </w:r>
      </w:hyperlink>
    </w:p>
    <w:p w14:paraId="1A1534D3" w14:textId="77777777" w:rsidR="00A1463C" w:rsidRPr="00D40509" w:rsidRDefault="00174B3A" w:rsidP="00676D5F">
      <w:pPr>
        <w:numPr>
          <w:ilvl w:val="0"/>
          <w:numId w:val="25"/>
        </w:numPr>
        <w:rPr>
          <w:i/>
        </w:rPr>
      </w:pPr>
      <w:r w:rsidRPr="00D40509">
        <w:rPr>
          <w:i/>
        </w:rPr>
        <w:t xml:space="preserve">Увеличение демографической нагрузки ввиду старения населения и сокращения рождаемости в Российской Федерации, создает серьезные вызовы для пенсионной системы нашей страны, требуя поиска новых решений. Это прослеживается в дефиците средств Социального Фонда РФ, который приходится покрывать за счет межбюджетных трансфертов. Исходя из этого, студенты факультета экономической безопасности Сургутского государственного университета видят необходимость в работе над развитием негосударственных пенсионных сбережений, </w:t>
      </w:r>
      <w:hyperlink w:anchor="a2" w:history="1">
        <w:r w:rsidRPr="00D40509">
          <w:rPr>
            <w:rStyle w:val="a3"/>
            <w:i/>
          </w:rPr>
          <w:t xml:space="preserve">пишет </w:t>
        </w:r>
        <w:r w:rsidR="00D40509">
          <w:rPr>
            <w:rStyle w:val="a3"/>
            <w:i/>
          </w:rPr>
          <w:t>«</w:t>
        </w:r>
        <w:r w:rsidRPr="00D40509">
          <w:rPr>
            <w:rStyle w:val="a3"/>
            <w:i/>
          </w:rPr>
          <w:t>Финам.ru</w:t>
        </w:r>
        <w:r w:rsidR="00D40509">
          <w:rPr>
            <w:rStyle w:val="a3"/>
            <w:i/>
          </w:rPr>
          <w:t>»</w:t>
        </w:r>
      </w:hyperlink>
    </w:p>
    <w:p w14:paraId="3A984E8E" w14:textId="77777777" w:rsidR="00174B3A" w:rsidRPr="00D40509" w:rsidRDefault="009B37F8" w:rsidP="00676D5F">
      <w:pPr>
        <w:numPr>
          <w:ilvl w:val="0"/>
          <w:numId w:val="25"/>
        </w:numPr>
        <w:rPr>
          <w:i/>
        </w:rPr>
      </w:pPr>
      <w:r w:rsidRPr="00D40509">
        <w:rPr>
          <w:i/>
        </w:rPr>
        <w:t xml:space="preserve">Негосударственный пенсионный фонд </w:t>
      </w:r>
      <w:r w:rsidR="00D40509">
        <w:rPr>
          <w:i/>
        </w:rPr>
        <w:t>«</w:t>
      </w:r>
      <w:r w:rsidRPr="00D40509">
        <w:rPr>
          <w:i/>
        </w:rPr>
        <w:t>Оборонно-промышленный фонд имени В. В. Ливанова</w:t>
      </w:r>
      <w:r w:rsidR="00D40509">
        <w:rPr>
          <w:i/>
        </w:rPr>
        <w:t>»</w:t>
      </w:r>
      <w:r w:rsidRPr="00D40509">
        <w:rPr>
          <w:i/>
        </w:rPr>
        <w:t xml:space="preserve"> (НПФ ОПФ) с начала года увеличил активы довольно незначительно — на 340 млн рублей, до 9,32 млрд. Обязательства составили 6 млрд рублей, следует из новой квартальной отчетности. Объем взносов по пенсионным программам фонда вырос с 48,6 млн рублей до 56,75 млн. Рост и по ОПС (перевод накопительной части пенсии) — с 12,3 млн рублей до 16 млн, и по негосударственной пенсии (НПО) — с 36,4 млн до 40,7 млн рублей, </w:t>
      </w:r>
      <w:hyperlink w:anchor="a3" w:history="1">
        <w:r w:rsidRPr="00D40509">
          <w:rPr>
            <w:rStyle w:val="a3"/>
            <w:i/>
          </w:rPr>
          <w:t xml:space="preserve">сообщает </w:t>
        </w:r>
        <w:r w:rsidR="00D40509">
          <w:rPr>
            <w:rStyle w:val="a3"/>
            <w:i/>
          </w:rPr>
          <w:t>«</w:t>
        </w:r>
        <w:r w:rsidRPr="00D40509">
          <w:rPr>
            <w:rStyle w:val="a3"/>
            <w:i/>
          </w:rPr>
          <w:t>Пенсия.pro</w:t>
        </w:r>
        <w:r w:rsidR="00D40509">
          <w:rPr>
            <w:rStyle w:val="a3"/>
            <w:i/>
          </w:rPr>
          <w:t>»</w:t>
        </w:r>
      </w:hyperlink>
    </w:p>
    <w:p w14:paraId="000A7781" w14:textId="77777777" w:rsidR="009B37F8" w:rsidRPr="00D40509" w:rsidRDefault="009B37F8" w:rsidP="00676D5F">
      <w:pPr>
        <w:numPr>
          <w:ilvl w:val="0"/>
          <w:numId w:val="25"/>
        </w:numPr>
        <w:rPr>
          <w:i/>
        </w:rPr>
      </w:pPr>
      <w:r w:rsidRPr="00D40509">
        <w:rPr>
          <w:i/>
        </w:rPr>
        <w:t xml:space="preserve">В России спрогнозировали рост участников программы долгосрочных сбережений (ПДС). Об этом </w:t>
      </w:r>
      <w:hyperlink w:anchor="a4" w:history="1">
        <w:r w:rsidR="00D40509">
          <w:rPr>
            <w:rStyle w:val="a3"/>
            <w:i/>
          </w:rPr>
          <w:t>«</w:t>
        </w:r>
        <w:r w:rsidRPr="00D40509">
          <w:rPr>
            <w:rStyle w:val="a3"/>
            <w:i/>
          </w:rPr>
          <w:t>Известиям</w:t>
        </w:r>
        <w:r w:rsidR="00D40509">
          <w:rPr>
            <w:rStyle w:val="a3"/>
            <w:i/>
          </w:rPr>
          <w:t>»</w:t>
        </w:r>
        <w:r w:rsidRPr="00D40509">
          <w:rPr>
            <w:rStyle w:val="a3"/>
            <w:i/>
          </w:rPr>
          <w:t xml:space="preserve"> рассказала</w:t>
        </w:r>
      </w:hyperlink>
      <w:r w:rsidRPr="00D40509">
        <w:rPr>
          <w:i/>
        </w:rPr>
        <w:t xml:space="preserve"> эксперт негосударственного пенсионного фонда (НПФ) </w:t>
      </w:r>
      <w:r w:rsidR="00D40509">
        <w:rPr>
          <w:i/>
        </w:rPr>
        <w:t>«</w:t>
      </w:r>
      <w:r w:rsidRPr="00D40509">
        <w:rPr>
          <w:i/>
        </w:rPr>
        <w:t>Будущее</w:t>
      </w:r>
      <w:r w:rsidR="00D40509">
        <w:rPr>
          <w:i/>
        </w:rPr>
        <w:t>»</w:t>
      </w:r>
      <w:r w:rsidRPr="00D40509">
        <w:rPr>
          <w:i/>
        </w:rPr>
        <w:t xml:space="preserve"> Галина Морозова по итогам принятия Советом Федерации законопроекта о переносе срока подачи заявления о переводе средств пенсионных накоплений в НПФ в качестве единовременного взноса по ПДС</w:t>
      </w:r>
    </w:p>
    <w:p w14:paraId="2C974224" w14:textId="77777777" w:rsidR="009B37F8" w:rsidRPr="00D40509" w:rsidRDefault="009B37F8" w:rsidP="00676D5F">
      <w:pPr>
        <w:numPr>
          <w:ilvl w:val="0"/>
          <w:numId w:val="25"/>
        </w:numPr>
        <w:rPr>
          <w:i/>
        </w:rPr>
      </w:pPr>
      <w:r w:rsidRPr="00D40509">
        <w:rPr>
          <w:i/>
        </w:rPr>
        <w:t xml:space="preserve">Совет Федерации одобрил на пленарном заседании нормы, предусматривающие перенос срока подачи заявления о переводе средств пенсионных накоплений в негосударственный пенсионный фонд (НПФ) в качестве единовременного взноса по договору долгосрочных сбережений. Нормы были оформлены как поправки ко второму чтению законопроекта о требованиях к квалифицированным инвесторам. Согласно действующему законодательству, гражданин может не позднее 1 декабря 2024 года подать заявление о переводе средств пенсионных накоплений в НПФ в качестве единовременного взноса по договору долгосрочных сбережений. Отказаться от перевода можно не позднее 31 декабря, </w:t>
      </w:r>
      <w:hyperlink w:anchor="a5" w:history="1">
        <w:r w:rsidRPr="00D40509">
          <w:rPr>
            <w:rStyle w:val="a3"/>
            <w:i/>
          </w:rPr>
          <w:t>информирует ТАСС</w:t>
        </w:r>
      </w:hyperlink>
    </w:p>
    <w:p w14:paraId="41D13459" w14:textId="77777777" w:rsidR="009B37F8" w:rsidRPr="00D40509" w:rsidRDefault="009B37F8" w:rsidP="00676D5F">
      <w:pPr>
        <w:numPr>
          <w:ilvl w:val="0"/>
          <w:numId w:val="25"/>
        </w:numPr>
        <w:rPr>
          <w:i/>
        </w:rPr>
      </w:pPr>
      <w:r w:rsidRPr="00D40509">
        <w:rPr>
          <w:i/>
        </w:rPr>
        <w:t xml:space="preserve">Россияне заявили к переводу в программу долгосрочных сбережений (ПДС) в </w:t>
      </w:r>
      <w:r w:rsidR="00D40509">
        <w:rPr>
          <w:i/>
        </w:rPr>
        <w:t>«</w:t>
      </w:r>
      <w:r w:rsidRPr="00D40509">
        <w:rPr>
          <w:i/>
        </w:rPr>
        <w:t>СберНПФ</w:t>
      </w:r>
      <w:r w:rsidR="00D40509">
        <w:rPr>
          <w:i/>
        </w:rPr>
        <w:t>»</w:t>
      </w:r>
      <w:r w:rsidRPr="00D40509">
        <w:rPr>
          <w:i/>
        </w:rPr>
        <w:t xml:space="preserve"> 48,1 миллиарда рублей средств накопительной пенсии. Так эти деньги уже в следующем году окажутся на личных ПДС-счетах в </w:t>
      </w:r>
      <w:r w:rsidR="00D40509">
        <w:rPr>
          <w:i/>
        </w:rPr>
        <w:t>«</w:t>
      </w:r>
      <w:r w:rsidRPr="00D40509">
        <w:rPr>
          <w:i/>
        </w:rPr>
        <w:t>СберНПФ</w:t>
      </w:r>
      <w:r w:rsidR="00D40509">
        <w:rPr>
          <w:i/>
        </w:rPr>
        <w:t>»</w:t>
      </w:r>
      <w:r w:rsidRPr="00D40509">
        <w:rPr>
          <w:i/>
        </w:rPr>
        <w:t xml:space="preserve">. </w:t>
      </w:r>
      <w:r w:rsidRPr="00D40509">
        <w:rPr>
          <w:i/>
        </w:rPr>
        <w:lastRenderedPageBreak/>
        <w:t xml:space="preserve">На начало ноября 1,75 миллиона человек вступили в ПДС. При этом 1,3 миллиона из них формируют долгосрочные сбережения в </w:t>
      </w:r>
      <w:r w:rsidR="00D40509">
        <w:rPr>
          <w:i/>
        </w:rPr>
        <w:t>«</w:t>
      </w:r>
      <w:r w:rsidRPr="00D40509">
        <w:rPr>
          <w:i/>
        </w:rPr>
        <w:t>СберНПФ</w:t>
      </w:r>
      <w:r w:rsidR="00D40509">
        <w:rPr>
          <w:i/>
        </w:rPr>
        <w:t>»</w:t>
      </w:r>
      <w:r w:rsidRPr="00D40509">
        <w:rPr>
          <w:i/>
        </w:rPr>
        <w:t xml:space="preserve"> и уже суммарно вложили в программу 74,3 миллиарда рублей, </w:t>
      </w:r>
      <w:hyperlink w:anchor="a6" w:history="1">
        <w:r w:rsidRPr="00D40509">
          <w:rPr>
            <w:rStyle w:val="a3"/>
            <w:i/>
          </w:rPr>
          <w:t xml:space="preserve">передает </w:t>
        </w:r>
        <w:r w:rsidR="00D40509">
          <w:rPr>
            <w:rStyle w:val="a3"/>
            <w:i/>
          </w:rPr>
          <w:t>«</w:t>
        </w:r>
        <w:r w:rsidRPr="00D40509">
          <w:rPr>
            <w:rStyle w:val="a3"/>
            <w:i/>
          </w:rPr>
          <w:t>Лента.ru</w:t>
        </w:r>
        <w:r w:rsidR="00D40509">
          <w:rPr>
            <w:rStyle w:val="a3"/>
            <w:i/>
          </w:rPr>
          <w:t>»</w:t>
        </w:r>
      </w:hyperlink>
    </w:p>
    <w:p w14:paraId="11D21692" w14:textId="77777777" w:rsidR="009B37F8" w:rsidRPr="00D40509" w:rsidRDefault="005F0AFF" w:rsidP="00676D5F">
      <w:pPr>
        <w:numPr>
          <w:ilvl w:val="0"/>
          <w:numId w:val="25"/>
        </w:numPr>
        <w:rPr>
          <w:i/>
        </w:rPr>
      </w:pPr>
      <w:r w:rsidRPr="00D40509">
        <w:rPr>
          <w:i/>
        </w:rPr>
        <w:t xml:space="preserve">По данным Минтруда, доля граждан старше 55 лет в 2024 году достигла 30%, что является максимальным показателем в современной истории. Об этом говорится в Стратегии действий в интересах граждан старшего поколения, которую разработал и представил на общественное обсуждение Минтруд. По мнению экспертов, </w:t>
      </w:r>
      <w:hyperlink w:anchor="a7" w:history="1">
        <w:r w:rsidRPr="00D40509">
          <w:rPr>
            <w:rStyle w:val="a3"/>
            <w:i/>
          </w:rPr>
          <w:t xml:space="preserve">опрошенных </w:t>
        </w:r>
        <w:r w:rsidR="00D40509">
          <w:rPr>
            <w:rStyle w:val="a3"/>
            <w:i/>
          </w:rPr>
          <w:t>«</w:t>
        </w:r>
        <w:r w:rsidRPr="00D40509">
          <w:rPr>
            <w:rStyle w:val="a3"/>
            <w:i/>
          </w:rPr>
          <w:t>Российской газетой</w:t>
        </w:r>
        <w:r w:rsidR="00D40509">
          <w:rPr>
            <w:rStyle w:val="a3"/>
            <w:i/>
          </w:rPr>
          <w:t>»</w:t>
        </w:r>
      </w:hyperlink>
      <w:r w:rsidRPr="00D40509">
        <w:rPr>
          <w:i/>
        </w:rPr>
        <w:t>, основной вызов заключается в том, чтобы трансформировать процесс старения населения из демографической проблемы в ресурс для общества и экономики</w:t>
      </w:r>
    </w:p>
    <w:p w14:paraId="43B8A985" w14:textId="77777777" w:rsidR="005F0AFF" w:rsidRPr="00D40509" w:rsidRDefault="005F0AFF" w:rsidP="00676D5F">
      <w:pPr>
        <w:numPr>
          <w:ilvl w:val="0"/>
          <w:numId w:val="25"/>
        </w:numPr>
        <w:rPr>
          <w:i/>
        </w:rPr>
      </w:pPr>
      <w:r w:rsidRPr="00D40509">
        <w:rPr>
          <w:i/>
        </w:rPr>
        <w:t xml:space="preserve">Проектом федерального бюджета на 2025-2027 годы на выплату страховых пенсий предусмотрено в 2025 году порядка 11 трлн руб., в том числе более 700 млрд руб. - на их индексацию. При этом у правительства есть право провести дополнительную индексацию страховых пенсий в случае, если инфляция будет выше, </w:t>
      </w:r>
      <w:hyperlink w:anchor="a8" w:history="1">
        <w:r w:rsidRPr="00D40509">
          <w:rPr>
            <w:rStyle w:val="a3"/>
            <w:i/>
          </w:rPr>
          <w:t>сообщает ТАСС</w:t>
        </w:r>
      </w:hyperlink>
    </w:p>
    <w:p w14:paraId="1E4C1BED" w14:textId="77777777" w:rsidR="00940029" w:rsidRPr="00D40509" w:rsidRDefault="009D79CC" w:rsidP="00940029">
      <w:pPr>
        <w:pStyle w:val="10"/>
        <w:jc w:val="center"/>
      </w:pPr>
      <w:bookmarkStart w:id="6" w:name="_Toc173015209"/>
      <w:bookmarkStart w:id="7" w:name="_Toc183067273"/>
      <w:r w:rsidRPr="00D40509">
        <w:t>Ци</w:t>
      </w:r>
      <w:r w:rsidR="00940029" w:rsidRPr="00D40509">
        <w:t>таты дня</w:t>
      </w:r>
      <w:bookmarkEnd w:id="6"/>
      <w:bookmarkEnd w:id="7"/>
    </w:p>
    <w:p w14:paraId="68D806F2" w14:textId="77777777" w:rsidR="00676D5F" w:rsidRPr="00D40509" w:rsidRDefault="009B37F8" w:rsidP="003B3BAA">
      <w:pPr>
        <w:numPr>
          <w:ilvl w:val="0"/>
          <w:numId w:val="27"/>
        </w:numPr>
        <w:rPr>
          <w:i/>
        </w:rPr>
      </w:pPr>
      <w:r w:rsidRPr="00D40509">
        <w:rPr>
          <w:i/>
        </w:rPr>
        <w:t xml:space="preserve">Галина Морозова, эксперт НПФ </w:t>
      </w:r>
      <w:r w:rsidR="00D40509">
        <w:rPr>
          <w:i/>
        </w:rPr>
        <w:t>«</w:t>
      </w:r>
      <w:r w:rsidRPr="00D40509">
        <w:rPr>
          <w:i/>
        </w:rPr>
        <w:t>Будущее</w:t>
      </w:r>
      <w:r w:rsidR="00D40509">
        <w:rPr>
          <w:i/>
        </w:rPr>
        <w:t>»</w:t>
      </w:r>
      <w:r w:rsidRPr="00D40509">
        <w:rPr>
          <w:i/>
        </w:rPr>
        <w:t xml:space="preserve">: </w:t>
      </w:r>
      <w:r w:rsidR="00D40509">
        <w:rPr>
          <w:i/>
        </w:rPr>
        <w:t>«</w:t>
      </w:r>
      <w:r w:rsidRPr="00D40509">
        <w:rPr>
          <w:i/>
        </w:rPr>
        <w:t xml:space="preserve">Если раньше гражданин мог подать заявление о переводе средств пенсионных накоплений в НПФ в качестве единовременного взноса по договору долгосрочных сбережений не позднее 1 декабря 2024 года, а отказаться от перевода не позднее 31 декабря, то теперь этот срок может сдвинуться еще на месяц. Таким образом, подать заявление о переводе средств в НПФ можно будет до 31 декабря, а отказаться от перевода — до 31 января 2025 года. Эта мера поможет простимулировать тех, кто еще раздумывает как над участием в программе, так и над переводом </w:t>
      </w:r>
      <w:r w:rsidR="00D40509">
        <w:rPr>
          <w:i/>
        </w:rPr>
        <w:t>«</w:t>
      </w:r>
      <w:r w:rsidRPr="00D40509">
        <w:rPr>
          <w:i/>
        </w:rPr>
        <w:t>замороженных</w:t>
      </w:r>
      <w:r w:rsidR="00D40509">
        <w:rPr>
          <w:i/>
        </w:rPr>
        <w:t>»</w:t>
      </w:r>
      <w:r w:rsidRPr="00D40509">
        <w:rPr>
          <w:i/>
        </w:rPr>
        <w:t xml:space="preserve"> пенсионных накоплений</w:t>
      </w:r>
      <w:r w:rsidR="00D40509">
        <w:rPr>
          <w:i/>
        </w:rPr>
        <w:t>»</w:t>
      </w:r>
    </w:p>
    <w:p w14:paraId="428F666D" w14:textId="77777777" w:rsidR="009B37F8" w:rsidRPr="00D40509" w:rsidRDefault="009B37F8" w:rsidP="003B3BAA">
      <w:pPr>
        <w:numPr>
          <w:ilvl w:val="0"/>
          <w:numId w:val="27"/>
        </w:numPr>
        <w:rPr>
          <w:i/>
        </w:rPr>
      </w:pPr>
      <w:r w:rsidRPr="00D40509">
        <w:rPr>
          <w:i/>
        </w:rPr>
        <w:t xml:space="preserve">Руслан Вестеровский, старший вице-президент, руководитель блока </w:t>
      </w:r>
      <w:r w:rsidR="00D40509">
        <w:rPr>
          <w:i/>
        </w:rPr>
        <w:t>«</w:t>
      </w:r>
      <w:r w:rsidRPr="00D40509">
        <w:rPr>
          <w:i/>
        </w:rPr>
        <w:t>Управление благосостоянием</w:t>
      </w:r>
      <w:r w:rsidR="00D40509">
        <w:rPr>
          <w:i/>
        </w:rPr>
        <w:t>»</w:t>
      </w:r>
      <w:r w:rsidRPr="00D40509">
        <w:rPr>
          <w:i/>
        </w:rPr>
        <w:t xml:space="preserve"> Сбербанка: </w:t>
      </w:r>
      <w:r w:rsidR="00D40509">
        <w:rPr>
          <w:i/>
        </w:rPr>
        <w:t>«</w:t>
      </w:r>
      <w:r w:rsidRPr="00D40509">
        <w:rPr>
          <w:i/>
        </w:rPr>
        <w:t xml:space="preserve">Сегодня Совет Федерации одобрил закон, который на месяц продлит россиянам возможность </w:t>
      </w:r>
      <w:r w:rsidR="00D40509">
        <w:rPr>
          <w:i/>
        </w:rPr>
        <w:t>«</w:t>
      </w:r>
      <w:r w:rsidRPr="00D40509">
        <w:rPr>
          <w:i/>
        </w:rPr>
        <w:t>размораживать</w:t>
      </w:r>
      <w:r w:rsidR="00D40509">
        <w:rPr>
          <w:i/>
        </w:rPr>
        <w:t>»</w:t>
      </w:r>
      <w:r w:rsidRPr="00D40509">
        <w:rPr>
          <w:i/>
        </w:rPr>
        <w:t xml:space="preserve"> свои средства накопительной пенсии с помощью программы долгосрочных сбережений. Мы приветствуем данную инициативу, и рады, что теперь успеем помочь большему числу людей, которые захотят направить эти средства на личный счёт. Интерес россиян к программе подтверждает наша статистика: в октябре-ноябре россияне ежемесячно открывают 200 тыс. договоров ПДС в СберНПФ. Это вдвое больше аналогичного показателя третьего квартала</w:t>
      </w:r>
      <w:r w:rsidR="00D40509">
        <w:rPr>
          <w:i/>
        </w:rPr>
        <w:t>»</w:t>
      </w:r>
    </w:p>
    <w:p w14:paraId="12594EC0" w14:textId="77777777" w:rsidR="005F0AFF" w:rsidRPr="00D40509" w:rsidRDefault="005F0AFF" w:rsidP="003B3BAA">
      <w:pPr>
        <w:numPr>
          <w:ilvl w:val="0"/>
          <w:numId w:val="27"/>
        </w:numPr>
        <w:rPr>
          <w:i/>
        </w:rPr>
      </w:pPr>
      <w:r w:rsidRPr="00D40509">
        <w:rPr>
          <w:i/>
        </w:rPr>
        <w:t xml:space="preserve">Василий Гордеев, заместитель управляющего Отделением Самара Волго-Вятского ГУ Банка России: </w:t>
      </w:r>
      <w:r w:rsidR="00D40509">
        <w:rPr>
          <w:i/>
        </w:rPr>
        <w:t>«</w:t>
      </w:r>
      <w:r w:rsidRPr="00D40509">
        <w:rPr>
          <w:i/>
        </w:rPr>
        <w:t xml:space="preserve">Предполагается, что деньги граждан будут инвестированы на принципах безубыточности. НПФ должны инвестировать средства своих клиентов только в финансовые инструменты, обладающие наилучшим соотношением между ожидаемой доходностью и рисками. В первую очередь в консервативные финансовые инструменты: в облигации федерального займа (ОФЗ), корпоративные облигации, акции, инфраструктурные проекты. При выборе НПФ для размещения денежных </w:t>
      </w:r>
      <w:r w:rsidRPr="00D40509">
        <w:rPr>
          <w:i/>
        </w:rPr>
        <w:lastRenderedPageBreak/>
        <w:t>средств нужно изучить инвестиционные декларации организации. В них указано, какие виды активов и в какой пропорции входят в портфель фонда по программе долгосрочных сбережений. Если фонд будет инвестировать неудачно и получит убыток, он будет обязан покрыть потери за счет собственных средств</w:t>
      </w:r>
      <w:r w:rsidR="00D40509">
        <w:rPr>
          <w:i/>
        </w:rPr>
        <w:t>»</w:t>
      </w:r>
    </w:p>
    <w:p w14:paraId="072EC57D" w14:textId="77777777" w:rsidR="00A0290C" w:rsidRPr="00D4050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40509">
        <w:rPr>
          <w:u w:val="single"/>
        </w:rPr>
        <w:lastRenderedPageBreak/>
        <w:t>ОГЛАВЛЕНИЕ</w:t>
      </w:r>
    </w:p>
    <w:p w14:paraId="0F1000B4" w14:textId="31FE8EE6" w:rsidR="00CB0048" w:rsidRDefault="0016397E">
      <w:pPr>
        <w:pStyle w:val="12"/>
        <w:tabs>
          <w:tab w:val="right" w:leader="dot" w:pos="9061"/>
        </w:tabs>
        <w:rPr>
          <w:rFonts w:ascii="Calibri" w:hAnsi="Calibri"/>
          <w:b w:val="0"/>
          <w:noProof/>
          <w:kern w:val="2"/>
          <w:sz w:val="24"/>
        </w:rPr>
      </w:pPr>
      <w:r w:rsidRPr="00D40509">
        <w:rPr>
          <w:caps/>
        </w:rPr>
        <w:fldChar w:fldCharType="begin"/>
      </w:r>
      <w:r w:rsidR="00310633" w:rsidRPr="00D40509">
        <w:rPr>
          <w:caps/>
        </w:rPr>
        <w:instrText xml:space="preserve"> TOC \o "1-5" \h \z \u </w:instrText>
      </w:r>
      <w:r w:rsidRPr="00D40509">
        <w:rPr>
          <w:caps/>
        </w:rPr>
        <w:fldChar w:fldCharType="separate"/>
      </w:r>
      <w:hyperlink w:anchor="_Toc183067272" w:history="1">
        <w:r w:rsidR="00CB0048" w:rsidRPr="00FA5713">
          <w:rPr>
            <w:rStyle w:val="a3"/>
            <w:noProof/>
          </w:rPr>
          <w:t>Темы</w:t>
        </w:r>
        <w:r w:rsidR="00CB0048" w:rsidRPr="00FA5713">
          <w:rPr>
            <w:rStyle w:val="a3"/>
            <w:rFonts w:ascii="Arial Rounded MT Bold" w:hAnsi="Arial Rounded MT Bold"/>
            <w:noProof/>
          </w:rPr>
          <w:t xml:space="preserve"> </w:t>
        </w:r>
        <w:r w:rsidR="00CB0048" w:rsidRPr="00FA5713">
          <w:rPr>
            <w:rStyle w:val="a3"/>
            <w:noProof/>
          </w:rPr>
          <w:t>дня</w:t>
        </w:r>
        <w:r w:rsidR="00CB0048">
          <w:rPr>
            <w:noProof/>
            <w:webHidden/>
          </w:rPr>
          <w:tab/>
        </w:r>
        <w:r w:rsidR="00CB0048">
          <w:rPr>
            <w:noProof/>
            <w:webHidden/>
          </w:rPr>
          <w:fldChar w:fldCharType="begin"/>
        </w:r>
        <w:r w:rsidR="00CB0048">
          <w:rPr>
            <w:noProof/>
            <w:webHidden/>
          </w:rPr>
          <w:instrText xml:space="preserve"> PAGEREF _Toc183067272 \h </w:instrText>
        </w:r>
        <w:r w:rsidR="00CB0048">
          <w:rPr>
            <w:noProof/>
            <w:webHidden/>
          </w:rPr>
        </w:r>
        <w:r w:rsidR="00CB0048">
          <w:rPr>
            <w:noProof/>
            <w:webHidden/>
          </w:rPr>
          <w:fldChar w:fldCharType="separate"/>
        </w:r>
        <w:r w:rsidR="00CB0048">
          <w:rPr>
            <w:noProof/>
            <w:webHidden/>
          </w:rPr>
          <w:t>2</w:t>
        </w:r>
        <w:r w:rsidR="00CB0048">
          <w:rPr>
            <w:noProof/>
            <w:webHidden/>
          </w:rPr>
          <w:fldChar w:fldCharType="end"/>
        </w:r>
      </w:hyperlink>
    </w:p>
    <w:p w14:paraId="73F7B6E7" w14:textId="0AAB6832" w:rsidR="00CB0048" w:rsidRDefault="00CB0048">
      <w:pPr>
        <w:pStyle w:val="12"/>
        <w:tabs>
          <w:tab w:val="right" w:leader="dot" w:pos="9061"/>
        </w:tabs>
        <w:rPr>
          <w:rFonts w:ascii="Calibri" w:hAnsi="Calibri"/>
          <w:b w:val="0"/>
          <w:noProof/>
          <w:kern w:val="2"/>
          <w:sz w:val="24"/>
        </w:rPr>
      </w:pPr>
      <w:hyperlink w:anchor="_Toc183067273" w:history="1">
        <w:r w:rsidRPr="00FA5713">
          <w:rPr>
            <w:rStyle w:val="a3"/>
            <w:noProof/>
          </w:rPr>
          <w:t>Цитаты дня</w:t>
        </w:r>
        <w:r>
          <w:rPr>
            <w:noProof/>
            <w:webHidden/>
          </w:rPr>
          <w:tab/>
        </w:r>
        <w:r>
          <w:rPr>
            <w:noProof/>
            <w:webHidden/>
          </w:rPr>
          <w:fldChar w:fldCharType="begin"/>
        </w:r>
        <w:r>
          <w:rPr>
            <w:noProof/>
            <w:webHidden/>
          </w:rPr>
          <w:instrText xml:space="preserve"> PAGEREF _Toc183067273 \h </w:instrText>
        </w:r>
        <w:r>
          <w:rPr>
            <w:noProof/>
            <w:webHidden/>
          </w:rPr>
        </w:r>
        <w:r>
          <w:rPr>
            <w:noProof/>
            <w:webHidden/>
          </w:rPr>
          <w:fldChar w:fldCharType="separate"/>
        </w:r>
        <w:r>
          <w:rPr>
            <w:noProof/>
            <w:webHidden/>
          </w:rPr>
          <w:t>3</w:t>
        </w:r>
        <w:r>
          <w:rPr>
            <w:noProof/>
            <w:webHidden/>
          </w:rPr>
          <w:fldChar w:fldCharType="end"/>
        </w:r>
      </w:hyperlink>
    </w:p>
    <w:p w14:paraId="0130C0FF" w14:textId="389EB1D4" w:rsidR="00CB0048" w:rsidRDefault="00CB0048">
      <w:pPr>
        <w:pStyle w:val="12"/>
        <w:tabs>
          <w:tab w:val="right" w:leader="dot" w:pos="9061"/>
        </w:tabs>
        <w:rPr>
          <w:rFonts w:ascii="Calibri" w:hAnsi="Calibri"/>
          <w:b w:val="0"/>
          <w:noProof/>
          <w:kern w:val="2"/>
          <w:sz w:val="24"/>
        </w:rPr>
      </w:pPr>
      <w:hyperlink w:anchor="_Toc183067274" w:history="1">
        <w:r w:rsidRPr="00FA5713">
          <w:rPr>
            <w:rStyle w:val="a3"/>
            <w:noProof/>
          </w:rPr>
          <w:t>НОВОСТИ ПЕНСИОННОЙ ОТРАСЛИ</w:t>
        </w:r>
        <w:r>
          <w:rPr>
            <w:noProof/>
            <w:webHidden/>
          </w:rPr>
          <w:tab/>
        </w:r>
        <w:r>
          <w:rPr>
            <w:noProof/>
            <w:webHidden/>
          </w:rPr>
          <w:fldChar w:fldCharType="begin"/>
        </w:r>
        <w:r>
          <w:rPr>
            <w:noProof/>
            <w:webHidden/>
          </w:rPr>
          <w:instrText xml:space="preserve"> PAGEREF _Toc183067274 \h </w:instrText>
        </w:r>
        <w:r>
          <w:rPr>
            <w:noProof/>
            <w:webHidden/>
          </w:rPr>
        </w:r>
        <w:r>
          <w:rPr>
            <w:noProof/>
            <w:webHidden/>
          </w:rPr>
          <w:fldChar w:fldCharType="separate"/>
        </w:r>
        <w:r>
          <w:rPr>
            <w:noProof/>
            <w:webHidden/>
          </w:rPr>
          <w:t>12</w:t>
        </w:r>
        <w:r>
          <w:rPr>
            <w:noProof/>
            <w:webHidden/>
          </w:rPr>
          <w:fldChar w:fldCharType="end"/>
        </w:r>
      </w:hyperlink>
    </w:p>
    <w:p w14:paraId="46689A87" w14:textId="3EF4B308" w:rsidR="00CB0048" w:rsidRDefault="00CB0048">
      <w:pPr>
        <w:pStyle w:val="12"/>
        <w:tabs>
          <w:tab w:val="right" w:leader="dot" w:pos="9061"/>
        </w:tabs>
        <w:rPr>
          <w:rFonts w:ascii="Calibri" w:hAnsi="Calibri"/>
          <w:b w:val="0"/>
          <w:noProof/>
          <w:kern w:val="2"/>
          <w:sz w:val="24"/>
        </w:rPr>
      </w:pPr>
      <w:hyperlink w:anchor="_Toc183067275" w:history="1">
        <w:r w:rsidRPr="00FA5713">
          <w:rPr>
            <w:rStyle w:val="a3"/>
            <w:noProof/>
          </w:rPr>
          <w:t>Новости отрасли НПФ</w:t>
        </w:r>
        <w:r>
          <w:rPr>
            <w:noProof/>
            <w:webHidden/>
          </w:rPr>
          <w:tab/>
        </w:r>
        <w:r>
          <w:rPr>
            <w:noProof/>
            <w:webHidden/>
          </w:rPr>
          <w:fldChar w:fldCharType="begin"/>
        </w:r>
        <w:r>
          <w:rPr>
            <w:noProof/>
            <w:webHidden/>
          </w:rPr>
          <w:instrText xml:space="preserve"> PAGEREF _Toc183067275 \h </w:instrText>
        </w:r>
        <w:r>
          <w:rPr>
            <w:noProof/>
            <w:webHidden/>
          </w:rPr>
        </w:r>
        <w:r>
          <w:rPr>
            <w:noProof/>
            <w:webHidden/>
          </w:rPr>
          <w:fldChar w:fldCharType="separate"/>
        </w:r>
        <w:r>
          <w:rPr>
            <w:noProof/>
            <w:webHidden/>
          </w:rPr>
          <w:t>12</w:t>
        </w:r>
        <w:r>
          <w:rPr>
            <w:noProof/>
            <w:webHidden/>
          </w:rPr>
          <w:fldChar w:fldCharType="end"/>
        </w:r>
      </w:hyperlink>
    </w:p>
    <w:p w14:paraId="35FD071C" w14:textId="536DB4E3" w:rsidR="00CB0048" w:rsidRDefault="00CB0048">
      <w:pPr>
        <w:pStyle w:val="21"/>
        <w:tabs>
          <w:tab w:val="right" w:leader="dot" w:pos="9061"/>
        </w:tabs>
        <w:rPr>
          <w:rFonts w:ascii="Calibri" w:hAnsi="Calibri"/>
          <w:noProof/>
          <w:kern w:val="2"/>
        </w:rPr>
      </w:pPr>
      <w:hyperlink w:anchor="_Toc183067276" w:history="1">
        <w:r w:rsidRPr="00FA5713">
          <w:rPr>
            <w:rStyle w:val="a3"/>
            <w:noProof/>
          </w:rPr>
          <w:t>РИА Новости, 20.11.2024, Пенсионный налоговый вычет</w:t>
        </w:r>
        <w:r>
          <w:rPr>
            <w:noProof/>
            <w:webHidden/>
          </w:rPr>
          <w:tab/>
        </w:r>
        <w:r>
          <w:rPr>
            <w:noProof/>
            <w:webHidden/>
          </w:rPr>
          <w:fldChar w:fldCharType="begin"/>
        </w:r>
        <w:r>
          <w:rPr>
            <w:noProof/>
            <w:webHidden/>
          </w:rPr>
          <w:instrText xml:space="preserve"> PAGEREF _Toc183067276 \h </w:instrText>
        </w:r>
        <w:r>
          <w:rPr>
            <w:noProof/>
            <w:webHidden/>
          </w:rPr>
        </w:r>
        <w:r>
          <w:rPr>
            <w:noProof/>
            <w:webHidden/>
          </w:rPr>
          <w:fldChar w:fldCharType="separate"/>
        </w:r>
        <w:r>
          <w:rPr>
            <w:noProof/>
            <w:webHidden/>
          </w:rPr>
          <w:t>12</w:t>
        </w:r>
        <w:r>
          <w:rPr>
            <w:noProof/>
            <w:webHidden/>
          </w:rPr>
          <w:fldChar w:fldCharType="end"/>
        </w:r>
      </w:hyperlink>
    </w:p>
    <w:p w14:paraId="470688D9" w14:textId="163B4951" w:rsidR="00CB0048" w:rsidRDefault="00CB0048">
      <w:pPr>
        <w:pStyle w:val="31"/>
        <w:rPr>
          <w:rFonts w:ascii="Calibri" w:hAnsi="Calibri"/>
          <w:kern w:val="2"/>
        </w:rPr>
      </w:pPr>
      <w:hyperlink w:anchor="_Toc183067277" w:history="1">
        <w:r w:rsidRPr="00FA5713">
          <w:rPr>
            <w:rStyle w:val="a3"/>
          </w:rPr>
          <w:t>Пенсионный налоговый вычет доступен тем, кто решил делать накопления на пенсию с помощью негосударственного пенсионного фонда или страховых взносов на добровольное пенсионное страхование. Кто может претендовать на этот социальный вычет и как его получить, какой размер уплаченных взносов на накопительную часть пенсии можно вернуть, какие документы потребуются и почему могут отказать, – в материале РИА Новости.</w:t>
        </w:r>
        <w:r>
          <w:rPr>
            <w:webHidden/>
          </w:rPr>
          <w:tab/>
        </w:r>
        <w:r>
          <w:rPr>
            <w:webHidden/>
          </w:rPr>
          <w:fldChar w:fldCharType="begin"/>
        </w:r>
        <w:r>
          <w:rPr>
            <w:webHidden/>
          </w:rPr>
          <w:instrText xml:space="preserve"> PAGEREF _Toc183067277 \h </w:instrText>
        </w:r>
        <w:r>
          <w:rPr>
            <w:webHidden/>
          </w:rPr>
        </w:r>
        <w:r>
          <w:rPr>
            <w:webHidden/>
          </w:rPr>
          <w:fldChar w:fldCharType="separate"/>
        </w:r>
        <w:r>
          <w:rPr>
            <w:webHidden/>
          </w:rPr>
          <w:t>12</w:t>
        </w:r>
        <w:r>
          <w:rPr>
            <w:webHidden/>
          </w:rPr>
          <w:fldChar w:fldCharType="end"/>
        </w:r>
      </w:hyperlink>
    </w:p>
    <w:p w14:paraId="60BCD834" w14:textId="7DD20738" w:rsidR="00CB0048" w:rsidRDefault="00CB0048">
      <w:pPr>
        <w:pStyle w:val="21"/>
        <w:tabs>
          <w:tab w:val="right" w:leader="dot" w:pos="9061"/>
        </w:tabs>
        <w:rPr>
          <w:rFonts w:ascii="Calibri" w:hAnsi="Calibri"/>
          <w:noProof/>
          <w:kern w:val="2"/>
        </w:rPr>
      </w:pPr>
      <w:hyperlink w:anchor="_Toc183067278" w:history="1">
        <w:r w:rsidRPr="00FA5713">
          <w:rPr>
            <w:rStyle w:val="a3"/>
            <w:noProof/>
          </w:rPr>
          <w:t>Финам.ru, 20.11.2024, SWOT-анализ рынка НПФ в России</w:t>
        </w:r>
        <w:r>
          <w:rPr>
            <w:noProof/>
            <w:webHidden/>
          </w:rPr>
          <w:tab/>
        </w:r>
        <w:r>
          <w:rPr>
            <w:noProof/>
            <w:webHidden/>
          </w:rPr>
          <w:fldChar w:fldCharType="begin"/>
        </w:r>
        <w:r>
          <w:rPr>
            <w:noProof/>
            <w:webHidden/>
          </w:rPr>
          <w:instrText xml:space="preserve"> PAGEREF _Toc183067278 \h </w:instrText>
        </w:r>
        <w:r>
          <w:rPr>
            <w:noProof/>
            <w:webHidden/>
          </w:rPr>
        </w:r>
        <w:r>
          <w:rPr>
            <w:noProof/>
            <w:webHidden/>
          </w:rPr>
          <w:fldChar w:fldCharType="separate"/>
        </w:r>
        <w:r>
          <w:rPr>
            <w:noProof/>
            <w:webHidden/>
          </w:rPr>
          <w:t>14</w:t>
        </w:r>
        <w:r>
          <w:rPr>
            <w:noProof/>
            <w:webHidden/>
          </w:rPr>
          <w:fldChar w:fldCharType="end"/>
        </w:r>
      </w:hyperlink>
    </w:p>
    <w:p w14:paraId="47BF27E5" w14:textId="78D4A2D8" w:rsidR="00CB0048" w:rsidRDefault="00CB0048">
      <w:pPr>
        <w:pStyle w:val="31"/>
        <w:rPr>
          <w:rFonts w:ascii="Calibri" w:hAnsi="Calibri"/>
          <w:kern w:val="2"/>
        </w:rPr>
      </w:pPr>
      <w:hyperlink w:anchor="_Toc183067279" w:history="1">
        <w:r w:rsidRPr="00FA5713">
          <w:rPr>
            <w:rStyle w:val="a3"/>
          </w:rPr>
          <w:t>Увеличение демографической нагрузки ввиду старения населения и сокращения рождаемости в Российской Федерации, создает серьезные вызовы для пенсионной системы нашей страны, требуя поиска новых решений. Это прослеживается в дефиците средств Социального Фонда РФ, который приходится покрывать за счет межбюджетных трансфертов.</w:t>
        </w:r>
        <w:r>
          <w:rPr>
            <w:webHidden/>
          </w:rPr>
          <w:tab/>
        </w:r>
        <w:r>
          <w:rPr>
            <w:webHidden/>
          </w:rPr>
          <w:fldChar w:fldCharType="begin"/>
        </w:r>
        <w:r>
          <w:rPr>
            <w:webHidden/>
          </w:rPr>
          <w:instrText xml:space="preserve"> PAGEREF _Toc183067279 \h </w:instrText>
        </w:r>
        <w:r>
          <w:rPr>
            <w:webHidden/>
          </w:rPr>
        </w:r>
        <w:r>
          <w:rPr>
            <w:webHidden/>
          </w:rPr>
          <w:fldChar w:fldCharType="separate"/>
        </w:r>
        <w:r>
          <w:rPr>
            <w:webHidden/>
          </w:rPr>
          <w:t>14</w:t>
        </w:r>
        <w:r>
          <w:rPr>
            <w:webHidden/>
          </w:rPr>
          <w:fldChar w:fldCharType="end"/>
        </w:r>
      </w:hyperlink>
    </w:p>
    <w:p w14:paraId="0B6A5057" w14:textId="26BB1CA5" w:rsidR="00CB0048" w:rsidRDefault="00CB0048">
      <w:pPr>
        <w:pStyle w:val="21"/>
        <w:tabs>
          <w:tab w:val="right" w:leader="dot" w:pos="9061"/>
        </w:tabs>
        <w:rPr>
          <w:rFonts w:ascii="Calibri" w:hAnsi="Calibri"/>
          <w:noProof/>
          <w:kern w:val="2"/>
        </w:rPr>
      </w:pPr>
      <w:hyperlink w:anchor="_Toc183067280" w:history="1">
        <w:r w:rsidRPr="00FA5713">
          <w:rPr>
            <w:rStyle w:val="a3"/>
            <w:noProof/>
          </w:rPr>
          <w:t>Пенсия.pro, 20.11.2024, НПФ ОПФ добился роста взносов и инвестиционного дохода</w:t>
        </w:r>
        <w:r>
          <w:rPr>
            <w:noProof/>
            <w:webHidden/>
          </w:rPr>
          <w:tab/>
        </w:r>
        <w:r>
          <w:rPr>
            <w:noProof/>
            <w:webHidden/>
          </w:rPr>
          <w:fldChar w:fldCharType="begin"/>
        </w:r>
        <w:r>
          <w:rPr>
            <w:noProof/>
            <w:webHidden/>
          </w:rPr>
          <w:instrText xml:space="preserve"> PAGEREF _Toc183067280 \h </w:instrText>
        </w:r>
        <w:r>
          <w:rPr>
            <w:noProof/>
            <w:webHidden/>
          </w:rPr>
        </w:r>
        <w:r>
          <w:rPr>
            <w:noProof/>
            <w:webHidden/>
          </w:rPr>
          <w:fldChar w:fldCharType="separate"/>
        </w:r>
        <w:r>
          <w:rPr>
            <w:noProof/>
            <w:webHidden/>
          </w:rPr>
          <w:t>17</w:t>
        </w:r>
        <w:r>
          <w:rPr>
            <w:noProof/>
            <w:webHidden/>
          </w:rPr>
          <w:fldChar w:fldCharType="end"/>
        </w:r>
      </w:hyperlink>
    </w:p>
    <w:p w14:paraId="0898CC69" w14:textId="424370BA" w:rsidR="00CB0048" w:rsidRDefault="00CB0048">
      <w:pPr>
        <w:pStyle w:val="31"/>
        <w:rPr>
          <w:rFonts w:ascii="Calibri" w:hAnsi="Calibri"/>
          <w:kern w:val="2"/>
        </w:rPr>
      </w:pPr>
      <w:hyperlink w:anchor="_Toc183067281" w:history="1">
        <w:r w:rsidRPr="00FA5713">
          <w:rPr>
            <w:rStyle w:val="a3"/>
          </w:rPr>
          <w:t>Негосударственный пенсионный фонд «Оборонно-промышленный фонд имени В. В. Ливанова» (НПФ ОПФ) с начала года увеличил активы довольно незначительно — на 340 млн рублей, до 9,32 млрд. Обязательства составили 6 млрд рублей, следует из новой квартальной отчетности.</w:t>
        </w:r>
        <w:r>
          <w:rPr>
            <w:webHidden/>
          </w:rPr>
          <w:tab/>
        </w:r>
        <w:r>
          <w:rPr>
            <w:webHidden/>
          </w:rPr>
          <w:fldChar w:fldCharType="begin"/>
        </w:r>
        <w:r>
          <w:rPr>
            <w:webHidden/>
          </w:rPr>
          <w:instrText xml:space="preserve"> PAGEREF _Toc183067281 \h </w:instrText>
        </w:r>
        <w:r>
          <w:rPr>
            <w:webHidden/>
          </w:rPr>
        </w:r>
        <w:r>
          <w:rPr>
            <w:webHidden/>
          </w:rPr>
          <w:fldChar w:fldCharType="separate"/>
        </w:r>
        <w:r>
          <w:rPr>
            <w:webHidden/>
          </w:rPr>
          <w:t>17</w:t>
        </w:r>
        <w:r>
          <w:rPr>
            <w:webHidden/>
          </w:rPr>
          <w:fldChar w:fldCharType="end"/>
        </w:r>
      </w:hyperlink>
    </w:p>
    <w:p w14:paraId="68E69176" w14:textId="53577840" w:rsidR="00CB0048" w:rsidRDefault="00CB0048">
      <w:pPr>
        <w:pStyle w:val="21"/>
        <w:tabs>
          <w:tab w:val="right" w:leader="dot" w:pos="9061"/>
        </w:tabs>
        <w:rPr>
          <w:rFonts w:ascii="Calibri" w:hAnsi="Calibri"/>
          <w:noProof/>
          <w:kern w:val="2"/>
        </w:rPr>
      </w:pPr>
      <w:hyperlink w:anchor="_Toc183067282" w:history="1">
        <w:r w:rsidRPr="00FA5713">
          <w:rPr>
            <w:rStyle w:val="a3"/>
            <w:noProof/>
          </w:rPr>
          <w:t>Пенсия.pro, 20.11.2024, Антон РОЖКОВ, Инвестиции для пассивного дохода</w:t>
        </w:r>
        <w:r>
          <w:rPr>
            <w:noProof/>
            <w:webHidden/>
          </w:rPr>
          <w:tab/>
        </w:r>
        <w:r>
          <w:rPr>
            <w:noProof/>
            <w:webHidden/>
          </w:rPr>
          <w:fldChar w:fldCharType="begin"/>
        </w:r>
        <w:r>
          <w:rPr>
            <w:noProof/>
            <w:webHidden/>
          </w:rPr>
          <w:instrText xml:space="preserve"> PAGEREF _Toc183067282 \h </w:instrText>
        </w:r>
        <w:r>
          <w:rPr>
            <w:noProof/>
            <w:webHidden/>
          </w:rPr>
        </w:r>
        <w:r>
          <w:rPr>
            <w:noProof/>
            <w:webHidden/>
          </w:rPr>
          <w:fldChar w:fldCharType="separate"/>
        </w:r>
        <w:r>
          <w:rPr>
            <w:noProof/>
            <w:webHidden/>
          </w:rPr>
          <w:t>18</w:t>
        </w:r>
        <w:r>
          <w:rPr>
            <w:noProof/>
            <w:webHidden/>
          </w:rPr>
          <w:fldChar w:fldCharType="end"/>
        </w:r>
      </w:hyperlink>
    </w:p>
    <w:p w14:paraId="70675A58" w14:textId="443A8491" w:rsidR="00CB0048" w:rsidRDefault="00CB0048">
      <w:pPr>
        <w:pStyle w:val="31"/>
        <w:rPr>
          <w:rFonts w:ascii="Calibri" w:hAnsi="Calibri"/>
          <w:kern w:val="2"/>
        </w:rPr>
      </w:pPr>
      <w:hyperlink w:anchor="_Toc183067283" w:history="1">
        <w:r w:rsidRPr="00FA5713">
          <w:rPr>
            <w:rStyle w:val="a3"/>
          </w:rPr>
          <w:t>Вот взять бы вложить свои сбережения и не беспокоиться о дополнительном доходе в старости! Хорошо бы, чтобы он был пассивным, ведь с годами работать становится всё сложнее. Неужели действительно можно вложить деньги во что-то и жить безбедно? Да, но есть несколько моментов. Объясняем, сколько и куда нужно инвестировать, чтобы в преклонном возрасте не пришлось считать копейки.</w:t>
        </w:r>
        <w:r>
          <w:rPr>
            <w:webHidden/>
          </w:rPr>
          <w:tab/>
        </w:r>
        <w:r>
          <w:rPr>
            <w:webHidden/>
          </w:rPr>
          <w:fldChar w:fldCharType="begin"/>
        </w:r>
        <w:r>
          <w:rPr>
            <w:webHidden/>
          </w:rPr>
          <w:instrText xml:space="preserve"> PAGEREF _Toc183067283 \h </w:instrText>
        </w:r>
        <w:r>
          <w:rPr>
            <w:webHidden/>
          </w:rPr>
        </w:r>
        <w:r>
          <w:rPr>
            <w:webHidden/>
          </w:rPr>
          <w:fldChar w:fldCharType="separate"/>
        </w:r>
        <w:r>
          <w:rPr>
            <w:webHidden/>
          </w:rPr>
          <w:t>18</w:t>
        </w:r>
        <w:r>
          <w:rPr>
            <w:webHidden/>
          </w:rPr>
          <w:fldChar w:fldCharType="end"/>
        </w:r>
      </w:hyperlink>
    </w:p>
    <w:p w14:paraId="4801D32F" w14:textId="3CBCE3AD" w:rsidR="00CB0048" w:rsidRDefault="00CB0048">
      <w:pPr>
        <w:pStyle w:val="12"/>
        <w:tabs>
          <w:tab w:val="right" w:leader="dot" w:pos="9061"/>
        </w:tabs>
        <w:rPr>
          <w:rFonts w:ascii="Calibri" w:hAnsi="Calibri"/>
          <w:b w:val="0"/>
          <w:noProof/>
          <w:kern w:val="2"/>
          <w:sz w:val="24"/>
        </w:rPr>
      </w:pPr>
      <w:hyperlink w:anchor="_Toc183067284" w:history="1">
        <w:r w:rsidRPr="00FA5713">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_Toc183067284 \h </w:instrText>
        </w:r>
        <w:r>
          <w:rPr>
            <w:noProof/>
            <w:webHidden/>
          </w:rPr>
        </w:r>
        <w:r>
          <w:rPr>
            <w:noProof/>
            <w:webHidden/>
          </w:rPr>
          <w:fldChar w:fldCharType="separate"/>
        </w:r>
        <w:r>
          <w:rPr>
            <w:noProof/>
            <w:webHidden/>
          </w:rPr>
          <w:t>21</w:t>
        </w:r>
        <w:r>
          <w:rPr>
            <w:noProof/>
            <w:webHidden/>
          </w:rPr>
          <w:fldChar w:fldCharType="end"/>
        </w:r>
      </w:hyperlink>
    </w:p>
    <w:p w14:paraId="090F9D9A" w14:textId="2DA386CD" w:rsidR="00CB0048" w:rsidRDefault="00CB0048">
      <w:pPr>
        <w:pStyle w:val="21"/>
        <w:tabs>
          <w:tab w:val="right" w:leader="dot" w:pos="9061"/>
        </w:tabs>
        <w:rPr>
          <w:rFonts w:ascii="Calibri" w:hAnsi="Calibri"/>
          <w:noProof/>
          <w:kern w:val="2"/>
        </w:rPr>
      </w:pPr>
      <w:hyperlink w:anchor="_Toc183067285" w:history="1">
        <w:r w:rsidRPr="00FA5713">
          <w:rPr>
            <w:rStyle w:val="a3"/>
            <w:noProof/>
          </w:rPr>
          <w:t>Известия, 20.11.2024, Эксперт спрогнозировал рост участников программы долгосрочных сбережений в РФ</w:t>
        </w:r>
        <w:r>
          <w:rPr>
            <w:noProof/>
            <w:webHidden/>
          </w:rPr>
          <w:tab/>
        </w:r>
        <w:r>
          <w:rPr>
            <w:noProof/>
            <w:webHidden/>
          </w:rPr>
          <w:fldChar w:fldCharType="begin"/>
        </w:r>
        <w:r>
          <w:rPr>
            <w:noProof/>
            <w:webHidden/>
          </w:rPr>
          <w:instrText xml:space="preserve"> PAGEREF _Toc183067285 \h </w:instrText>
        </w:r>
        <w:r>
          <w:rPr>
            <w:noProof/>
            <w:webHidden/>
          </w:rPr>
        </w:r>
        <w:r>
          <w:rPr>
            <w:noProof/>
            <w:webHidden/>
          </w:rPr>
          <w:fldChar w:fldCharType="separate"/>
        </w:r>
        <w:r>
          <w:rPr>
            <w:noProof/>
            <w:webHidden/>
          </w:rPr>
          <w:t>21</w:t>
        </w:r>
        <w:r>
          <w:rPr>
            <w:noProof/>
            <w:webHidden/>
          </w:rPr>
          <w:fldChar w:fldCharType="end"/>
        </w:r>
      </w:hyperlink>
    </w:p>
    <w:p w14:paraId="371DC329" w14:textId="2CD23C75" w:rsidR="00CB0048" w:rsidRDefault="00CB0048">
      <w:pPr>
        <w:pStyle w:val="31"/>
        <w:rPr>
          <w:rFonts w:ascii="Calibri" w:hAnsi="Calibri"/>
          <w:kern w:val="2"/>
        </w:rPr>
      </w:pPr>
      <w:hyperlink w:anchor="_Toc183067286" w:history="1">
        <w:r w:rsidRPr="00FA5713">
          <w:rPr>
            <w:rStyle w:val="a3"/>
          </w:rPr>
          <w:t>В России спрогнозировали рост участников программы долгосрочных сбережений (ПДС). Об этом «Известиям» рассказала 20 ноября эксперт негосударственного пенсионного фонда (НПФ) «Будущее» Галина Морозова по итогам принятия Советом Федерации законопроекта о переносе срока подачи заявления о переводе средств пенсионных накоплений в НПФ в качестве единовременного взноса по ПДС.</w:t>
        </w:r>
        <w:r>
          <w:rPr>
            <w:webHidden/>
          </w:rPr>
          <w:tab/>
        </w:r>
        <w:r>
          <w:rPr>
            <w:webHidden/>
          </w:rPr>
          <w:fldChar w:fldCharType="begin"/>
        </w:r>
        <w:r>
          <w:rPr>
            <w:webHidden/>
          </w:rPr>
          <w:instrText xml:space="preserve"> PAGEREF _Toc183067286 \h </w:instrText>
        </w:r>
        <w:r>
          <w:rPr>
            <w:webHidden/>
          </w:rPr>
        </w:r>
        <w:r>
          <w:rPr>
            <w:webHidden/>
          </w:rPr>
          <w:fldChar w:fldCharType="separate"/>
        </w:r>
        <w:r>
          <w:rPr>
            <w:webHidden/>
          </w:rPr>
          <w:t>21</w:t>
        </w:r>
        <w:r>
          <w:rPr>
            <w:webHidden/>
          </w:rPr>
          <w:fldChar w:fldCharType="end"/>
        </w:r>
      </w:hyperlink>
    </w:p>
    <w:p w14:paraId="0BD4C7CD" w14:textId="2E848F96" w:rsidR="00CB0048" w:rsidRDefault="00CB0048">
      <w:pPr>
        <w:pStyle w:val="21"/>
        <w:tabs>
          <w:tab w:val="right" w:leader="dot" w:pos="9061"/>
        </w:tabs>
        <w:rPr>
          <w:rFonts w:ascii="Calibri" w:hAnsi="Calibri"/>
          <w:noProof/>
          <w:kern w:val="2"/>
        </w:rPr>
      </w:pPr>
      <w:hyperlink w:anchor="_Toc183067287" w:history="1">
        <w:r w:rsidRPr="00FA5713">
          <w:rPr>
            <w:rStyle w:val="a3"/>
            <w:noProof/>
          </w:rPr>
          <w:t>ТАСС, 20.11.2024, СФ одобрил перенос срока перевода пенсионных накоплений в долгосрочные сбережения</w:t>
        </w:r>
        <w:r>
          <w:rPr>
            <w:noProof/>
            <w:webHidden/>
          </w:rPr>
          <w:tab/>
        </w:r>
        <w:r>
          <w:rPr>
            <w:noProof/>
            <w:webHidden/>
          </w:rPr>
          <w:fldChar w:fldCharType="begin"/>
        </w:r>
        <w:r>
          <w:rPr>
            <w:noProof/>
            <w:webHidden/>
          </w:rPr>
          <w:instrText xml:space="preserve"> PAGEREF _Toc183067287 \h </w:instrText>
        </w:r>
        <w:r>
          <w:rPr>
            <w:noProof/>
            <w:webHidden/>
          </w:rPr>
        </w:r>
        <w:r>
          <w:rPr>
            <w:noProof/>
            <w:webHidden/>
          </w:rPr>
          <w:fldChar w:fldCharType="separate"/>
        </w:r>
        <w:r>
          <w:rPr>
            <w:noProof/>
            <w:webHidden/>
          </w:rPr>
          <w:t>22</w:t>
        </w:r>
        <w:r>
          <w:rPr>
            <w:noProof/>
            <w:webHidden/>
          </w:rPr>
          <w:fldChar w:fldCharType="end"/>
        </w:r>
      </w:hyperlink>
    </w:p>
    <w:p w14:paraId="7D01B705" w14:textId="3F8508AF" w:rsidR="00CB0048" w:rsidRDefault="00CB0048">
      <w:pPr>
        <w:pStyle w:val="31"/>
        <w:rPr>
          <w:rFonts w:ascii="Calibri" w:hAnsi="Calibri"/>
          <w:kern w:val="2"/>
        </w:rPr>
      </w:pPr>
      <w:hyperlink w:anchor="_Toc183067288" w:history="1">
        <w:r w:rsidRPr="00FA5713">
          <w:rPr>
            <w:rStyle w:val="a3"/>
          </w:rPr>
          <w:t>Совет Федерации одобрил на пленарном заседании нормы, предусматривающие перенос срока подачи заявления о переводе средств пенсионных накоплений в негосударственный пенсионный фонд (НПФ) в качестве единовременного взноса по договору долгосрочных сбережений. Нормы были оформлены как поправки ко второму чтению законопроекта о требованиях к квалифицированным инвесторам.</w:t>
        </w:r>
        <w:r>
          <w:rPr>
            <w:webHidden/>
          </w:rPr>
          <w:tab/>
        </w:r>
        <w:r>
          <w:rPr>
            <w:webHidden/>
          </w:rPr>
          <w:fldChar w:fldCharType="begin"/>
        </w:r>
        <w:r>
          <w:rPr>
            <w:webHidden/>
          </w:rPr>
          <w:instrText xml:space="preserve"> PAGEREF _Toc183067288 \h </w:instrText>
        </w:r>
        <w:r>
          <w:rPr>
            <w:webHidden/>
          </w:rPr>
        </w:r>
        <w:r>
          <w:rPr>
            <w:webHidden/>
          </w:rPr>
          <w:fldChar w:fldCharType="separate"/>
        </w:r>
        <w:r>
          <w:rPr>
            <w:webHidden/>
          </w:rPr>
          <w:t>22</w:t>
        </w:r>
        <w:r>
          <w:rPr>
            <w:webHidden/>
          </w:rPr>
          <w:fldChar w:fldCharType="end"/>
        </w:r>
      </w:hyperlink>
    </w:p>
    <w:p w14:paraId="45D739D2" w14:textId="339E4570" w:rsidR="00CB0048" w:rsidRDefault="00CB0048">
      <w:pPr>
        <w:pStyle w:val="21"/>
        <w:tabs>
          <w:tab w:val="right" w:leader="dot" w:pos="9061"/>
        </w:tabs>
        <w:rPr>
          <w:rFonts w:ascii="Calibri" w:hAnsi="Calibri"/>
          <w:noProof/>
          <w:kern w:val="2"/>
        </w:rPr>
      </w:pPr>
      <w:hyperlink w:anchor="_Toc183067289" w:history="1">
        <w:r w:rsidRPr="00FA5713">
          <w:rPr>
            <w:rStyle w:val="a3"/>
            <w:noProof/>
          </w:rPr>
          <w:t>Лента.ru, 20.11.2024, В «СберНПФ» назвали сумму размороженных россиянами средств накопительной пенсии</w:t>
        </w:r>
        <w:r>
          <w:rPr>
            <w:noProof/>
            <w:webHidden/>
          </w:rPr>
          <w:tab/>
        </w:r>
        <w:r>
          <w:rPr>
            <w:noProof/>
            <w:webHidden/>
          </w:rPr>
          <w:fldChar w:fldCharType="begin"/>
        </w:r>
        <w:r>
          <w:rPr>
            <w:noProof/>
            <w:webHidden/>
          </w:rPr>
          <w:instrText xml:space="preserve"> PAGEREF _Toc183067289 \h </w:instrText>
        </w:r>
        <w:r>
          <w:rPr>
            <w:noProof/>
            <w:webHidden/>
          </w:rPr>
        </w:r>
        <w:r>
          <w:rPr>
            <w:noProof/>
            <w:webHidden/>
          </w:rPr>
          <w:fldChar w:fldCharType="separate"/>
        </w:r>
        <w:r>
          <w:rPr>
            <w:noProof/>
            <w:webHidden/>
          </w:rPr>
          <w:t>23</w:t>
        </w:r>
        <w:r>
          <w:rPr>
            <w:noProof/>
            <w:webHidden/>
          </w:rPr>
          <w:fldChar w:fldCharType="end"/>
        </w:r>
      </w:hyperlink>
    </w:p>
    <w:p w14:paraId="6CD202A1" w14:textId="2707F18B" w:rsidR="00CB0048" w:rsidRDefault="00CB0048">
      <w:pPr>
        <w:pStyle w:val="31"/>
        <w:rPr>
          <w:rFonts w:ascii="Calibri" w:hAnsi="Calibri"/>
          <w:kern w:val="2"/>
        </w:rPr>
      </w:pPr>
      <w:hyperlink w:anchor="_Toc183067290" w:history="1">
        <w:r w:rsidRPr="00FA5713">
          <w:rPr>
            <w:rStyle w:val="a3"/>
          </w:rPr>
          <w:t>Россияне заявили к переводу в программу долгосрочных сбережений (ПДС) в «СберНПФ» 48,1 миллиарда рублей средств накопительной пенсии. Так эти деньги уже в следующем году окажутся на личных ПДС-счетах в «СберНПФ». На начало ноября 1,75 миллиона человек вступили в ПДС. При этом 1,3 миллиона из них формируют долгосрочные сбережения в «СберНПФ» и уже суммарно вложили в программу 74,3 миллиарда рублей.</w:t>
        </w:r>
        <w:r>
          <w:rPr>
            <w:webHidden/>
          </w:rPr>
          <w:tab/>
        </w:r>
        <w:r>
          <w:rPr>
            <w:webHidden/>
          </w:rPr>
          <w:fldChar w:fldCharType="begin"/>
        </w:r>
        <w:r>
          <w:rPr>
            <w:webHidden/>
          </w:rPr>
          <w:instrText xml:space="preserve"> PAGEREF _Toc183067290 \h </w:instrText>
        </w:r>
        <w:r>
          <w:rPr>
            <w:webHidden/>
          </w:rPr>
        </w:r>
        <w:r>
          <w:rPr>
            <w:webHidden/>
          </w:rPr>
          <w:fldChar w:fldCharType="separate"/>
        </w:r>
        <w:r>
          <w:rPr>
            <w:webHidden/>
          </w:rPr>
          <w:t>23</w:t>
        </w:r>
        <w:r>
          <w:rPr>
            <w:webHidden/>
          </w:rPr>
          <w:fldChar w:fldCharType="end"/>
        </w:r>
      </w:hyperlink>
    </w:p>
    <w:p w14:paraId="4FBBD66B" w14:textId="350F5BD8" w:rsidR="00CB0048" w:rsidRDefault="00CB0048">
      <w:pPr>
        <w:pStyle w:val="21"/>
        <w:tabs>
          <w:tab w:val="right" w:leader="dot" w:pos="9061"/>
        </w:tabs>
        <w:rPr>
          <w:rFonts w:ascii="Calibri" w:hAnsi="Calibri"/>
          <w:noProof/>
          <w:kern w:val="2"/>
        </w:rPr>
      </w:pPr>
      <w:hyperlink w:anchor="_Toc183067291" w:history="1">
        <w:r w:rsidRPr="00FA5713">
          <w:rPr>
            <w:rStyle w:val="a3"/>
            <w:noProof/>
          </w:rPr>
          <w:t>Банки.ru, 20.11.2024, В «ВТБ Онлайн» появилась возможность открыть вклад со ставкой до 30%</w:t>
        </w:r>
        <w:r>
          <w:rPr>
            <w:noProof/>
            <w:webHidden/>
          </w:rPr>
          <w:tab/>
        </w:r>
        <w:r>
          <w:rPr>
            <w:noProof/>
            <w:webHidden/>
          </w:rPr>
          <w:fldChar w:fldCharType="begin"/>
        </w:r>
        <w:r>
          <w:rPr>
            <w:noProof/>
            <w:webHidden/>
          </w:rPr>
          <w:instrText xml:space="preserve"> PAGEREF _Toc183067291 \h </w:instrText>
        </w:r>
        <w:r>
          <w:rPr>
            <w:noProof/>
            <w:webHidden/>
          </w:rPr>
        </w:r>
        <w:r>
          <w:rPr>
            <w:noProof/>
            <w:webHidden/>
          </w:rPr>
          <w:fldChar w:fldCharType="separate"/>
        </w:r>
        <w:r>
          <w:rPr>
            <w:noProof/>
            <w:webHidden/>
          </w:rPr>
          <w:t>24</w:t>
        </w:r>
        <w:r>
          <w:rPr>
            <w:noProof/>
            <w:webHidden/>
          </w:rPr>
          <w:fldChar w:fldCharType="end"/>
        </w:r>
      </w:hyperlink>
    </w:p>
    <w:p w14:paraId="741DB17E" w14:textId="73747310" w:rsidR="00CB0048" w:rsidRDefault="00CB0048">
      <w:pPr>
        <w:pStyle w:val="31"/>
        <w:rPr>
          <w:rFonts w:ascii="Calibri" w:hAnsi="Calibri"/>
          <w:kern w:val="2"/>
        </w:rPr>
      </w:pPr>
      <w:hyperlink w:anchor="_Toc183067292" w:history="1">
        <w:r w:rsidRPr="00FA5713">
          <w:rPr>
            <w:rStyle w:val="a3"/>
          </w:rPr>
          <w:t>Участники программы долгосрочных сбережений НПФ ВТБ теперь могут открыть вклад «Двойная выгода» со ставкой до 30% годовых через «ВТБ Онлайн» — в мобильном приложении или веб-версии. Об этом сообщает пресс-служба кредитной организации.</w:t>
        </w:r>
        <w:r>
          <w:rPr>
            <w:webHidden/>
          </w:rPr>
          <w:tab/>
        </w:r>
        <w:r>
          <w:rPr>
            <w:webHidden/>
          </w:rPr>
          <w:fldChar w:fldCharType="begin"/>
        </w:r>
        <w:r>
          <w:rPr>
            <w:webHidden/>
          </w:rPr>
          <w:instrText xml:space="preserve"> PAGEREF _Toc183067292 \h </w:instrText>
        </w:r>
        <w:r>
          <w:rPr>
            <w:webHidden/>
          </w:rPr>
        </w:r>
        <w:r>
          <w:rPr>
            <w:webHidden/>
          </w:rPr>
          <w:fldChar w:fldCharType="separate"/>
        </w:r>
        <w:r>
          <w:rPr>
            <w:webHidden/>
          </w:rPr>
          <w:t>24</w:t>
        </w:r>
        <w:r>
          <w:rPr>
            <w:webHidden/>
          </w:rPr>
          <w:fldChar w:fldCharType="end"/>
        </w:r>
      </w:hyperlink>
    </w:p>
    <w:p w14:paraId="322F1AD2" w14:textId="7F701AAF" w:rsidR="00CB0048" w:rsidRDefault="00CB0048">
      <w:pPr>
        <w:pStyle w:val="21"/>
        <w:tabs>
          <w:tab w:val="right" w:leader="dot" w:pos="9061"/>
        </w:tabs>
        <w:rPr>
          <w:rFonts w:ascii="Calibri" w:hAnsi="Calibri"/>
          <w:noProof/>
          <w:kern w:val="2"/>
        </w:rPr>
      </w:pPr>
      <w:hyperlink w:anchor="_Toc183067293" w:history="1">
        <w:r w:rsidRPr="00FA5713">
          <w:rPr>
            <w:rStyle w:val="a3"/>
            <w:noProof/>
          </w:rPr>
          <w:t>SIA.ru, 20.11.2024, НПФ Альфа-Банка получил лицензию Банка России</w:t>
        </w:r>
        <w:r>
          <w:rPr>
            <w:noProof/>
            <w:webHidden/>
          </w:rPr>
          <w:tab/>
        </w:r>
        <w:r>
          <w:rPr>
            <w:noProof/>
            <w:webHidden/>
          </w:rPr>
          <w:fldChar w:fldCharType="begin"/>
        </w:r>
        <w:r>
          <w:rPr>
            <w:noProof/>
            <w:webHidden/>
          </w:rPr>
          <w:instrText xml:space="preserve"> PAGEREF _Toc183067293 \h </w:instrText>
        </w:r>
        <w:r>
          <w:rPr>
            <w:noProof/>
            <w:webHidden/>
          </w:rPr>
        </w:r>
        <w:r>
          <w:rPr>
            <w:noProof/>
            <w:webHidden/>
          </w:rPr>
          <w:fldChar w:fldCharType="separate"/>
        </w:r>
        <w:r>
          <w:rPr>
            <w:noProof/>
            <w:webHidden/>
          </w:rPr>
          <w:t>24</w:t>
        </w:r>
        <w:r>
          <w:rPr>
            <w:noProof/>
            <w:webHidden/>
          </w:rPr>
          <w:fldChar w:fldCharType="end"/>
        </w:r>
      </w:hyperlink>
    </w:p>
    <w:p w14:paraId="5424C16E" w14:textId="7F6D9B06" w:rsidR="00CB0048" w:rsidRDefault="00CB0048">
      <w:pPr>
        <w:pStyle w:val="31"/>
        <w:rPr>
          <w:rFonts w:ascii="Calibri" w:hAnsi="Calibri"/>
          <w:kern w:val="2"/>
        </w:rPr>
      </w:pPr>
      <w:hyperlink w:anchor="_Toc183067294" w:history="1">
        <w:r w:rsidRPr="00FA5713">
          <w:rPr>
            <w:rStyle w:val="a3"/>
          </w:rPr>
          <w:t>Негосударственный пенсионный фонд «Альфа» получил лицензию Банка России на осуществление деятельности по пенсионному обеспечению и пенсионному страхованию. НПФ основан Альфа-Банком и страховой компанией «АльфаСтрахование-Жизнь». Создание фонда связано с запуском программы долгосрочных сбережений — нового накопительного инструмента с государственной поддержкой.</w:t>
        </w:r>
        <w:r>
          <w:rPr>
            <w:webHidden/>
          </w:rPr>
          <w:tab/>
        </w:r>
        <w:r>
          <w:rPr>
            <w:webHidden/>
          </w:rPr>
          <w:fldChar w:fldCharType="begin"/>
        </w:r>
        <w:r>
          <w:rPr>
            <w:webHidden/>
          </w:rPr>
          <w:instrText xml:space="preserve"> PAGEREF _Toc183067294 \h </w:instrText>
        </w:r>
        <w:r>
          <w:rPr>
            <w:webHidden/>
          </w:rPr>
        </w:r>
        <w:r>
          <w:rPr>
            <w:webHidden/>
          </w:rPr>
          <w:fldChar w:fldCharType="separate"/>
        </w:r>
        <w:r>
          <w:rPr>
            <w:webHidden/>
          </w:rPr>
          <w:t>24</w:t>
        </w:r>
        <w:r>
          <w:rPr>
            <w:webHidden/>
          </w:rPr>
          <w:fldChar w:fldCharType="end"/>
        </w:r>
      </w:hyperlink>
    </w:p>
    <w:p w14:paraId="211D7C51" w14:textId="7564FFD0" w:rsidR="00CB0048" w:rsidRDefault="00CB0048">
      <w:pPr>
        <w:pStyle w:val="21"/>
        <w:tabs>
          <w:tab w:val="right" w:leader="dot" w:pos="9061"/>
        </w:tabs>
        <w:rPr>
          <w:rFonts w:ascii="Calibri" w:hAnsi="Calibri"/>
          <w:noProof/>
          <w:kern w:val="2"/>
        </w:rPr>
      </w:pPr>
      <w:hyperlink w:anchor="_Toc183067295" w:history="1">
        <w:r w:rsidRPr="00FA5713">
          <w:rPr>
            <w:rStyle w:val="a3"/>
            <w:noProof/>
          </w:rPr>
          <w:t>АиФ - Самара, 20.11.2024, В Самаре растет число участников программы долгосрочных сбережений</w:t>
        </w:r>
        <w:r>
          <w:rPr>
            <w:noProof/>
            <w:webHidden/>
          </w:rPr>
          <w:tab/>
        </w:r>
        <w:r>
          <w:rPr>
            <w:noProof/>
            <w:webHidden/>
          </w:rPr>
          <w:fldChar w:fldCharType="begin"/>
        </w:r>
        <w:r>
          <w:rPr>
            <w:noProof/>
            <w:webHidden/>
          </w:rPr>
          <w:instrText xml:space="preserve"> PAGEREF _Toc183067295 \h </w:instrText>
        </w:r>
        <w:r>
          <w:rPr>
            <w:noProof/>
            <w:webHidden/>
          </w:rPr>
        </w:r>
        <w:r>
          <w:rPr>
            <w:noProof/>
            <w:webHidden/>
          </w:rPr>
          <w:fldChar w:fldCharType="separate"/>
        </w:r>
        <w:r>
          <w:rPr>
            <w:noProof/>
            <w:webHidden/>
          </w:rPr>
          <w:t>25</w:t>
        </w:r>
        <w:r>
          <w:rPr>
            <w:noProof/>
            <w:webHidden/>
          </w:rPr>
          <w:fldChar w:fldCharType="end"/>
        </w:r>
      </w:hyperlink>
    </w:p>
    <w:p w14:paraId="033703B9" w14:textId="67802738" w:rsidR="00CB0048" w:rsidRDefault="00CB0048">
      <w:pPr>
        <w:pStyle w:val="31"/>
        <w:rPr>
          <w:rFonts w:ascii="Calibri" w:hAnsi="Calibri"/>
          <w:kern w:val="2"/>
        </w:rPr>
      </w:pPr>
      <w:hyperlink w:anchor="_Toc183067296" w:history="1">
        <w:r w:rsidRPr="00FA5713">
          <w:rPr>
            <w:rStyle w:val="a3"/>
          </w:rPr>
          <w:t>Более 30 тысяч договоров по программе долгосрочных сбережений заключили жители Самарской области по данным на конец сентября. Такие данные прозвучали в ходе круглого стола на тему «Привычка копить: какие инструменты помогают создать финансовую подушку безопасности». Эксперты полагают, что интерес к программе будет расти за счет выгодных условий накопления, одно из которых — софинансирование со стороны государства.</w:t>
        </w:r>
        <w:r>
          <w:rPr>
            <w:webHidden/>
          </w:rPr>
          <w:tab/>
        </w:r>
        <w:r>
          <w:rPr>
            <w:webHidden/>
          </w:rPr>
          <w:fldChar w:fldCharType="begin"/>
        </w:r>
        <w:r>
          <w:rPr>
            <w:webHidden/>
          </w:rPr>
          <w:instrText xml:space="preserve"> PAGEREF _Toc183067296 \h </w:instrText>
        </w:r>
        <w:r>
          <w:rPr>
            <w:webHidden/>
          </w:rPr>
        </w:r>
        <w:r>
          <w:rPr>
            <w:webHidden/>
          </w:rPr>
          <w:fldChar w:fldCharType="separate"/>
        </w:r>
        <w:r>
          <w:rPr>
            <w:webHidden/>
          </w:rPr>
          <w:t>25</w:t>
        </w:r>
        <w:r>
          <w:rPr>
            <w:webHidden/>
          </w:rPr>
          <w:fldChar w:fldCharType="end"/>
        </w:r>
      </w:hyperlink>
    </w:p>
    <w:p w14:paraId="709690F1" w14:textId="6C61B9BB" w:rsidR="00CB0048" w:rsidRDefault="00CB0048">
      <w:pPr>
        <w:pStyle w:val="12"/>
        <w:tabs>
          <w:tab w:val="right" w:leader="dot" w:pos="9061"/>
        </w:tabs>
        <w:rPr>
          <w:rFonts w:ascii="Calibri" w:hAnsi="Calibri"/>
          <w:b w:val="0"/>
          <w:noProof/>
          <w:kern w:val="2"/>
          <w:sz w:val="24"/>
        </w:rPr>
      </w:pPr>
      <w:hyperlink w:anchor="_Toc183067297" w:history="1">
        <w:r w:rsidRPr="00FA5713">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_Toc183067297 \h </w:instrText>
        </w:r>
        <w:r>
          <w:rPr>
            <w:noProof/>
            <w:webHidden/>
          </w:rPr>
        </w:r>
        <w:r>
          <w:rPr>
            <w:noProof/>
            <w:webHidden/>
          </w:rPr>
          <w:fldChar w:fldCharType="separate"/>
        </w:r>
        <w:r>
          <w:rPr>
            <w:noProof/>
            <w:webHidden/>
          </w:rPr>
          <w:t>26</w:t>
        </w:r>
        <w:r>
          <w:rPr>
            <w:noProof/>
            <w:webHidden/>
          </w:rPr>
          <w:fldChar w:fldCharType="end"/>
        </w:r>
      </w:hyperlink>
    </w:p>
    <w:p w14:paraId="5B436B5B" w14:textId="58FB410E" w:rsidR="00CB0048" w:rsidRDefault="00CB0048">
      <w:pPr>
        <w:pStyle w:val="21"/>
        <w:tabs>
          <w:tab w:val="right" w:leader="dot" w:pos="9061"/>
        </w:tabs>
        <w:rPr>
          <w:rFonts w:ascii="Calibri" w:hAnsi="Calibri"/>
          <w:noProof/>
          <w:kern w:val="2"/>
        </w:rPr>
      </w:pPr>
      <w:hyperlink w:anchor="_Toc183067298" w:history="1">
        <w:r w:rsidRPr="00FA5713">
          <w:rPr>
            <w:rStyle w:val="a3"/>
            <w:noProof/>
          </w:rPr>
          <w:t>Российская газета, 19.11.2024, Юрист Русяев: Старение населения должно стать ресурсом для общества и экономики</w:t>
        </w:r>
        <w:r>
          <w:rPr>
            <w:noProof/>
            <w:webHidden/>
          </w:rPr>
          <w:tab/>
        </w:r>
        <w:r>
          <w:rPr>
            <w:noProof/>
            <w:webHidden/>
          </w:rPr>
          <w:fldChar w:fldCharType="begin"/>
        </w:r>
        <w:r>
          <w:rPr>
            <w:noProof/>
            <w:webHidden/>
          </w:rPr>
          <w:instrText xml:space="preserve"> PAGEREF _Toc183067298 \h </w:instrText>
        </w:r>
        <w:r>
          <w:rPr>
            <w:noProof/>
            <w:webHidden/>
          </w:rPr>
        </w:r>
        <w:r>
          <w:rPr>
            <w:noProof/>
            <w:webHidden/>
          </w:rPr>
          <w:fldChar w:fldCharType="separate"/>
        </w:r>
        <w:r>
          <w:rPr>
            <w:noProof/>
            <w:webHidden/>
          </w:rPr>
          <w:t>26</w:t>
        </w:r>
        <w:r>
          <w:rPr>
            <w:noProof/>
            <w:webHidden/>
          </w:rPr>
          <w:fldChar w:fldCharType="end"/>
        </w:r>
      </w:hyperlink>
    </w:p>
    <w:p w14:paraId="447A71ED" w14:textId="0FF82AF5" w:rsidR="00CB0048" w:rsidRDefault="00CB0048">
      <w:pPr>
        <w:pStyle w:val="31"/>
        <w:rPr>
          <w:rFonts w:ascii="Calibri" w:hAnsi="Calibri"/>
          <w:kern w:val="2"/>
        </w:rPr>
      </w:pPr>
      <w:hyperlink w:anchor="_Toc183067299" w:history="1">
        <w:r w:rsidRPr="00FA5713">
          <w:rPr>
            <w:rStyle w:val="a3"/>
          </w:rPr>
          <w:t>По данным Минтруда, доля граждан старше 55 лет в 2024 году достигла 30%, что является максимальным показателем в современной истории. Об этом говорится в Стратегии действий в интересах граждан старшего поколения, которую разработал и представил на общественное обсуждение Минтруд.</w:t>
        </w:r>
        <w:r>
          <w:rPr>
            <w:webHidden/>
          </w:rPr>
          <w:tab/>
        </w:r>
        <w:r>
          <w:rPr>
            <w:webHidden/>
          </w:rPr>
          <w:fldChar w:fldCharType="begin"/>
        </w:r>
        <w:r>
          <w:rPr>
            <w:webHidden/>
          </w:rPr>
          <w:instrText xml:space="preserve"> PAGEREF _Toc183067299 \h </w:instrText>
        </w:r>
        <w:r>
          <w:rPr>
            <w:webHidden/>
          </w:rPr>
        </w:r>
        <w:r>
          <w:rPr>
            <w:webHidden/>
          </w:rPr>
          <w:fldChar w:fldCharType="separate"/>
        </w:r>
        <w:r>
          <w:rPr>
            <w:webHidden/>
          </w:rPr>
          <w:t>26</w:t>
        </w:r>
        <w:r>
          <w:rPr>
            <w:webHidden/>
          </w:rPr>
          <w:fldChar w:fldCharType="end"/>
        </w:r>
      </w:hyperlink>
    </w:p>
    <w:p w14:paraId="28717235" w14:textId="3D438751" w:rsidR="00CB0048" w:rsidRDefault="00CB0048">
      <w:pPr>
        <w:pStyle w:val="21"/>
        <w:tabs>
          <w:tab w:val="right" w:leader="dot" w:pos="9061"/>
        </w:tabs>
        <w:rPr>
          <w:rFonts w:ascii="Calibri" w:hAnsi="Calibri"/>
          <w:noProof/>
          <w:kern w:val="2"/>
        </w:rPr>
      </w:pPr>
      <w:hyperlink w:anchor="_Toc183067300" w:history="1">
        <w:r w:rsidRPr="00FA5713">
          <w:rPr>
            <w:rStyle w:val="a3"/>
            <w:noProof/>
          </w:rPr>
          <w:t>Российская газета, 19.11.2024, Минимальная пенсия в Москве вырастет с 1 января</w:t>
        </w:r>
        <w:r>
          <w:rPr>
            <w:noProof/>
            <w:webHidden/>
          </w:rPr>
          <w:tab/>
        </w:r>
        <w:r>
          <w:rPr>
            <w:noProof/>
            <w:webHidden/>
          </w:rPr>
          <w:fldChar w:fldCharType="begin"/>
        </w:r>
        <w:r>
          <w:rPr>
            <w:noProof/>
            <w:webHidden/>
          </w:rPr>
          <w:instrText xml:space="preserve"> PAGEREF _Toc183067300 \h </w:instrText>
        </w:r>
        <w:r>
          <w:rPr>
            <w:noProof/>
            <w:webHidden/>
          </w:rPr>
        </w:r>
        <w:r>
          <w:rPr>
            <w:noProof/>
            <w:webHidden/>
          </w:rPr>
          <w:fldChar w:fldCharType="separate"/>
        </w:r>
        <w:r>
          <w:rPr>
            <w:noProof/>
            <w:webHidden/>
          </w:rPr>
          <w:t>29</w:t>
        </w:r>
        <w:r>
          <w:rPr>
            <w:noProof/>
            <w:webHidden/>
          </w:rPr>
          <w:fldChar w:fldCharType="end"/>
        </w:r>
      </w:hyperlink>
    </w:p>
    <w:p w14:paraId="23371E51" w14:textId="7BF06B99" w:rsidR="00CB0048" w:rsidRDefault="00CB0048">
      <w:pPr>
        <w:pStyle w:val="31"/>
        <w:rPr>
          <w:rFonts w:ascii="Calibri" w:hAnsi="Calibri"/>
          <w:kern w:val="2"/>
        </w:rPr>
      </w:pPr>
      <w:hyperlink w:anchor="_Toc183067301" w:history="1">
        <w:r w:rsidRPr="00FA5713">
          <w:rPr>
            <w:rStyle w:val="a3"/>
          </w:rPr>
          <w:t>Депутаты Мосгордумы на днях сразу в трех чтениях приняли бюджет Москвы на 2025 год и плановый период 2026-2027 годов. Более половины расходов, или 2,8 триллиона рублей, в грядущем году составят траты социального характера - здравоохранение, образование, соцподдержка.</w:t>
        </w:r>
        <w:r>
          <w:rPr>
            <w:webHidden/>
          </w:rPr>
          <w:tab/>
        </w:r>
        <w:r>
          <w:rPr>
            <w:webHidden/>
          </w:rPr>
          <w:fldChar w:fldCharType="begin"/>
        </w:r>
        <w:r>
          <w:rPr>
            <w:webHidden/>
          </w:rPr>
          <w:instrText xml:space="preserve"> PAGEREF _Toc183067301 \h </w:instrText>
        </w:r>
        <w:r>
          <w:rPr>
            <w:webHidden/>
          </w:rPr>
        </w:r>
        <w:r>
          <w:rPr>
            <w:webHidden/>
          </w:rPr>
          <w:fldChar w:fldCharType="separate"/>
        </w:r>
        <w:r>
          <w:rPr>
            <w:webHidden/>
          </w:rPr>
          <w:t>29</w:t>
        </w:r>
        <w:r>
          <w:rPr>
            <w:webHidden/>
          </w:rPr>
          <w:fldChar w:fldCharType="end"/>
        </w:r>
      </w:hyperlink>
    </w:p>
    <w:p w14:paraId="1492D2B5" w14:textId="257ED126" w:rsidR="00CB0048" w:rsidRDefault="00CB0048">
      <w:pPr>
        <w:pStyle w:val="21"/>
        <w:tabs>
          <w:tab w:val="right" w:leader="dot" w:pos="9061"/>
        </w:tabs>
        <w:rPr>
          <w:rFonts w:ascii="Calibri" w:hAnsi="Calibri"/>
          <w:noProof/>
          <w:kern w:val="2"/>
        </w:rPr>
      </w:pPr>
      <w:hyperlink w:anchor="_Toc183067302" w:history="1">
        <w:r w:rsidRPr="00FA5713">
          <w:rPr>
            <w:rStyle w:val="a3"/>
            <w:noProof/>
          </w:rPr>
          <w:t>ТАСС, 20.11.2024, Более 700 млрд руб. направят на индексацию страховых пенсий в РФ в 2025 г.</w:t>
        </w:r>
        <w:r>
          <w:rPr>
            <w:noProof/>
            <w:webHidden/>
          </w:rPr>
          <w:tab/>
        </w:r>
        <w:r>
          <w:rPr>
            <w:noProof/>
            <w:webHidden/>
          </w:rPr>
          <w:fldChar w:fldCharType="begin"/>
        </w:r>
        <w:r>
          <w:rPr>
            <w:noProof/>
            <w:webHidden/>
          </w:rPr>
          <w:instrText xml:space="preserve"> PAGEREF _Toc183067302 \h </w:instrText>
        </w:r>
        <w:r>
          <w:rPr>
            <w:noProof/>
            <w:webHidden/>
          </w:rPr>
        </w:r>
        <w:r>
          <w:rPr>
            <w:noProof/>
            <w:webHidden/>
          </w:rPr>
          <w:fldChar w:fldCharType="separate"/>
        </w:r>
        <w:r>
          <w:rPr>
            <w:noProof/>
            <w:webHidden/>
          </w:rPr>
          <w:t>30</w:t>
        </w:r>
        <w:r>
          <w:rPr>
            <w:noProof/>
            <w:webHidden/>
          </w:rPr>
          <w:fldChar w:fldCharType="end"/>
        </w:r>
      </w:hyperlink>
    </w:p>
    <w:p w14:paraId="5FAA35F4" w14:textId="696ED659" w:rsidR="00CB0048" w:rsidRDefault="00CB0048">
      <w:pPr>
        <w:pStyle w:val="31"/>
        <w:rPr>
          <w:rFonts w:ascii="Calibri" w:hAnsi="Calibri"/>
          <w:kern w:val="2"/>
        </w:rPr>
      </w:pPr>
      <w:hyperlink w:anchor="_Toc183067303" w:history="1">
        <w:r w:rsidRPr="00FA5713">
          <w:rPr>
            <w:rStyle w:val="a3"/>
          </w:rPr>
          <w:t>Проект федерального бюджета РФ на 2025 год предусматривает более 700 млрд руб. на индексацию страховых пенсий, сообщили ТАСС в пресс-службе Минфина РФ.</w:t>
        </w:r>
        <w:r>
          <w:rPr>
            <w:webHidden/>
          </w:rPr>
          <w:tab/>
        </w:r>
        <w:r>
          <w:rPr>
            <w:webHidden/>
          </w:rPr>
          <w:fldChar w:fldCharType="begin"/>
        </w:r>
        <w:r>
          <w:rPr>
            <w:webHidden/>
          </w:rPr>
          <w:instrText xml:space="preserve"> PAGEREF _Toc183067303 \h </w:instrText>
        </w:r>
        <w:r>
          <w:rPr>
            <w:webHidden/>
          </w:rPr>
        </w:r>
        <w:r>
          <w:rPr>
            <w:webHidden/>
          </w:rPr>
          <w:fldChar w:fldCharType="separate"/>
        </w:r>
        <w:r>
          <w:rPr>
            <w:webHidden/>
          </w:rPr>
          <w:t>30</w:t>
        </w:r>
        <w:r>
          <w:rPr>
            <w:webHidden/>
          </w:rPr>
          <w:fldChar w:fldCharType="end"/>
        </w:r>
      </w:hyperlink>
    </w:p>
    <w:p w14:paraId="1FE4C76E" w14:textId="7537C710" w:rsidR="00CB0048" w:rsidRDefault="00CB0048">
      <w:pPr>
        <w:pStyle w:val="21"/>
        <w:tabs>
          <w:tab w:val="right" w:leader="dot" w:pos="9061"/>
        </w:tabs>
        <w:rPr>
          <w:rFonts w:ascii="Calibri" w:hAnsi="Calibri"/>
          <w:noProof/>
          <w:kern w:val="2"/>
        </w:rPr>
      </w:pPr>
      <w:hyperlink w:anchor="_Toc183067304" w:history="1">
        <w:r w:rsidRPr="00FA5713">
          <w:rPr>
            <w:rStyle w:val="a3"/>
            <w:noProof/>
          </w:rPr>
          <w:t>РБК Инвестиции, 20.11.2024, Пенсия за выслугу лет: чем отличается и кому положена</w:t>
        </w:r>
        <w:r>
          <w:rPr>
            <w:noProof/>
            <w:webHidden/>
          </w:rPr>
          <w:tab/>
        </w:r>
        <w:r>
          <w:rPr>
            <w:noProof/>
            <w:webHidden/>
          </w:rPr>
          <w:fldChar w:fldCharType="begin"/>
        </w:r>
        <w:r>
          <w:rPr>
            <w:noProof/>
            <w:webHidden/>
          </w:rPr>
          <w:instrText xml:space="preserve"> PAGEREF _Toc183067304 \h </w:instrText>
        </w:r>
        <w:r>
          <w:rPr>
            <w:noProof/>
            <w:webHidden/>
          </w:rPr>
        </w:r>
        <w:r>
          <w:rPr>
            <w:noProof/>
            <w:webHidden/>
          </w:rPr>
          <w:fldChar w:fldCharType="separate"/>
        </w:r>
        <w:r>
          <w:rPr>
            <w:noProof/>
            <w:webHidden/>
          </w:rPr>
          <w:t>31</w:t>
        </w:r>
        <w:r>
          <w:rPr>
            <w:noProof/>
            <w:webHidden/>
          </w:rPr>
          <w:fldChar w:fldCharType="end"/>
        </w:r>
      </w:hyperlink>
    </w:p>
    <w:p w14:paraId="26C38F1E" w14:textId="16BC2C1E" w:rsidR="00CB0048" w:rsidRDefault="00CB0048">
      <w:pPr>
        <w:pStyle w:val="31"/>
        <w:rPr>
          <w:rFonts w:ascii="Calibri" w:hAnsi="Calibri"/>
          <w:kern w:val="2"/>
        </w:rPr>
      </w:pPr>
      <w:hyperlink w:anchor="_Toc183067305" w:history="1">
        <w:r w:rsidRPr="00FA5713">
          <w:rPr>
            <w:rStyle w:val="a3"/>
          </w:rPr>
          <w:t>Некоторые россияне имеют право получать пенсионные выплаты за большой стаж в определенной должности или организации. Что такое пенсия за выслугу лет и кто может ее оформить — в обзоре «РБК Инвестиций».</w:t>
        </w:r>
        <w:r>
          <w:rPr>
            <w:webHidden/>
          </w:rPr>
          <w:tab/>
        </w:r>
        <w:r>
          <w:rPr>
            <w:webHidden/>
          </w:rPr>
          <w:fldChar w:fldCharType="begin"/>
        </w:r>
        <w:r>
          <w:rPr>
            <w:webHidden/>
          </w:rPr>
          <w:instrText xml:space="preserve"> PAGEREF _Toc183067305 \h </w:instrText>
        </w:r>
        <w:r>
          <w:rPr>
            <w:webHidden/>
          </w:rPr>
        </w:r>
        <w:r>
          <w:rPr>
            <w:webHidden/>
          </w:rPr>
          <w:fldChar w:fldCharType="separate"/>
        </w:r>
        <w:r>
          <w:rPr>
            <w:webHidden/>
          </w:rPr>
          <w:t>31</w:t>
        </w:r>
        <w:r>
          <w:rPr>
            <w:webHidden/>
          </w:rPr>
          <w:fldChar w:fldCharType="end"/>
        </w:r>
      </w:hyperlink>
    </w:p>
    <w:p w14:paraId="375648AB" w14:textId="6C9144D2" w:rsidR="00CB0048" w:rsidRDefault="00CB0048">
      <w:pPr>
        <w:pStyle w:val="21"/>
        <w:tabs>
          <w:tab w:val="right" w:leader="dot" w:pos="9061"/>
        </w:tabs>
        <w:rPr>
          <w:rFonts w:ascii="Calibri" w:hAnsi="Calibri"/>
          <w:noProof/>
          <w:kern w:val="2"/>
        </w:rPr>
      </w:pPr>
      <w:hyperlink w:anchor="_Toc183067306" w:history="1">
        <w:r w:rsidRPr="00FA5713">
          <w:rPr>
            <w:rStyle w:val="a3"/>
            <w:noProof/>
          </w:rPr>
          <w:t>Радио 1, 20.11.2024, «Заслужили хорошую жизнь»: Депутат Никитин рассказал про справедливую пенсию для жителей РФ</w:t>
        </w:r>
        <w:r>
          <w:rPr>
            <w:noProof/>
            <w:webHidden/>
          </w:rPr>
          <w:tab/>
        </w:r>
        <w:r>
          <w:rPr>
            <w:noProof/>
            <w:webHidden/>
          </w:rPr>
          <w:fldChar w:fldCharType="begin"/>
        </w:r>
        <w:r>
          <w:rPr>
            <w:noProof/>
            <w:webHidden/>
          </w:rPr>
          <w:instrText xml:space="preserve"> PAGEREF _Toc183067306 \h </w:instrText>
        </w:r>
        <w:r>
          <w:rPr>
            <w:noProof/>
            <w:webHidden/>
          </w:rPr>
        </w:r>
        <w:r>
          <w:rPr>
            <w:noProof/>
            <w:webHidden/>
          </w:rPr>
          <w:fldChar w:fldCharType="separate"/>
        </w:r>
        <w:r>
          <w:rPr>
            <w:noProof/>
            <w:webHidden/>
          </w:rPr>
          <w:t>35</w:t>
        </w:r>
        <w:r>
          <w:rPr>
            <w:noProof/>
            <w:webHidden/>
          </w:rPr>
          <w:fldChar w:fldCharType="end"/>
        </w:r>
      </w:hyperlink>
    </w:p>
    <w:p w14:paraId="042E88A3" w14:textId="1CB93583" w:rsidR="00CB0048" w:rsidRDefault="00CB0048">
      <w:pPr>
        <w:pStyle w:val="31"/>
        <w:rPr>
          <w:rFonts w:ascii="Calibri" w:hAnsi="Calibri"/>
          <w:kern w:val="2"/>
        </w:rPr>
      </w:pPr>
      <w:hyperlink w:anchor="_Toc183067307" w:history="1">
        <w:r w:rsidRPr="00FA5713">
          <w:rPr>
            <w:rStyle w:val="a3"/>
          </w:rPr>
          <w:t>В Союзе пенсионеров Московской области назвали справедливый размер пенсии. По мнению главы Союза пенсионеров Московской области и депутата Мособлдумы Анатолия Никитина, эта сумма должна составлять 40% от средней зарплаты. Депутат также предложил установить минимальный размер пенсии в 35 тысяч рублей.</w:t>
        </w:r>
        <w:r>
          <w:rPr>
            <w:webHidden/>
          </w:rPr>
          <w:tab/>
        </w:r>
        <w:r>
          <w:rPr>
            <w:webHidden/>
          </w:rPr>
          <w:fldChar w:fldCharType="begin"/>
        </w:r>
        <w:r>
          <w:rPr>
            <w:webHidden/>
          </w:rPr>
          <w:instrText xml:space="preserve"> PAGEREF _Toc183067307 \h </w:instrText>
        </w:r>
        <w:r>
          <w:rPr>
            <w:webHidden/>
          </w:rPr>
        </w:r>
        <w:r>
          <w:rPr>
            <w:webHidden/>
          </w:rPr>
          <w:fldChar w:fldCharType="separate"/>
        </w:r>
        <w:r>
          <w:rPr>
            <w:webHidden/>
          </w:rPr>
          <w:t>35</w:t>
        </w:r>
        <w:r>
          <w:rPr>
            <w:webHidden/>
          </w:rPr>
          <w:fldChar w:fldCharType="end"/>
        </w:r>
      </w:hyperlink>
    </w:p>
    <w:p w14:paraId="083C97C1" w14:textId="66A38B6A" w:rsidR="00CB0048" w:rsidRDefault="00CB0048">
      <w:pPr>
        <w:pStyle w:val="21"/>
        <w:tabs>
          <w:tab w:val="right" w:leader="dot" w:pos="9061"/>
        </w:tabs>
        <w:rPr>
          <w:rFonts w:ascii="Calibri" w:hAnsi="Calibri"/>
          <w:noProof/>
          <w:kern w:val="2"/>
        </w:rPr>
      </w:pPr>
      <w:hyperlink w:anchor="_Toc183067308" w:history="1">
        <w:r w:rsidRPr="00FA5713">
          <w:rPr>
            <w:rStyle w:val="a3"/>
            <w:noProof/>
          </w:rPr>
          <w:t>Лента.ru, 20.11.2024, Россиянам рассказали о повышении пенсий с 1 января</w:t>
        </w:r>
        <w:r>
          <w:rPr>
            <w:noProof/>
            <w:webHidden/>
          </w:rPr>
          <w:tab/>
        </w:r>
        <w:r>
          <w:rPr>
            <w:noProof/>
            <w:webHidden/>
          </w:rPr>
          <w:fldChar w:fldCharType="begin"/>
        </w:r>
        <w:r>
          <w:rPr>
            <w:noProof/>
            <w:webHidden/>
          </w:rPr>
          <w:instrText xml:space="preserve"> PAGEREF _Toc183067308 \h </w:instrText>
        </w:r>
        <w:r>
          <w:rPr>
            <w:noProof/>
            <w:webHidden/>
          </w:rPr>
        </w:r>
        <w:r>
          <w:rPr>
            <w:noProof/>
            <w:webHidden/>
          </w:rPr>
          <w:fldChar w:fldCharType="separate"/>
        </w:r>
        <w:r>
          <w:rPr>
            <w:noProof/>
            <w:webHidden/>
          </w:rPr>
          <w:t>36</w:t>
        </w:r>
        <w:r>
          <w:rPr>
            <w:noProof/>
            <w:webHidden/>
          </w:rPr>
          <w:fldChar w:fldCharType="end"/>
        </w:r>
      </w:hyperlink>
    </w:p>
    <w:p w14:paraId="179685FB" w14:textId="6BBD0CA9" w:rsidR="00CB0048" w:rsidRDefault="00CB0048">
      <w:pPr>
        <w:pStyle w:val="31"/>
        <w:rPr>
          <w:rFonts w:ascii="Calibri" w:hAnsi="Calibri"/>
          <w:kern w:val="2"/>
        </w:rPr>
      </w:pPr>
      <w:hyperlink w:anchor="_Toc183067309" w:history="1">
        <w:r w:rsidRPr="00FA5713">
          <w:rPr>
            <w:rStyle w:val="a3"/>
          </w:rPr>
          <w:t>С 1 января 2025 года будут повышены пенсии и работающих, и неработающих россиян. Об этом сообщила член комитета Государственной Думы по труду, социальной политике и делам ветеранов Светлана Бессараб в разговоре с «Лентой.ру».</w:t>
        </w:r>
        <w:r>
          <w:rPr>
            <w:webHidden/>
          </w:rPr>
          <w:tab/>
        </w:r>
        <w:r>
          <w:rPr>
            <w:webHidden/>
          </w:rPr>
          <w:fldChar w:fldCharType="begin"/>
        </w:r>
        <w:r>
          <w:rPr>
            <w:webHidden/>
          </w:rPr>
          <w:instrText xml:space="preserve"> PAGEREF _Toc183067309 \h </w:instrText>
        </w:r>
        <w:r>
          <w:rPr>
            <w:webHidden/>
          </w:rPr>
        </w:r>
        <w:r>
          <w:rPr>
            <w:webHidden/>
          </w:rPr>
          <w:fldChar w:fldCharType="separate"/>
        </w:r>
        <w:r>
          <w:rPr>
            <w:webHidden/>
          </w:rPr>
          <w:t>36</w:t>
        </w:r>
        <w:r>
          <w:rPr>
            <w:webHidden/>
          </w:rPr>
          <w:fldChar w:fldCharType="end"/>
        </w:r>
      </w:hyperlink>
    </w:p>
    <w:p w14:paraId="049EB0E0" w14:textId="619D3546" w:rsidR="00CB0048" w:rsidRDefault="00CB0048">
      <w:pPr>
        <w:pStyle w:val="21"/>
        <w:tabs>
          <w:tab w:val="right" w:leader="dot" w:pos="9061"/>
        </w:tabs>
        <w:rPr>
          <w:rFonts w:ascii="Calibri" w:hAnsi="Calibri"/>
          <w:noProof/>
          <w:kern w:val="2"/>
        </w:rPr>
      </w:pPr>
      <w:hyperlink w:anchor="_Toc183067310" w:history="1">
        <w:r w:rsidRPr="00FA5713">
          <w:rPr>
            <w:rStyle w:val="a3"/>
            <w:noProof/>
          </w:rPr>
          <w:t>NEWS.ru, 20.11.2024, Депутат Чаплин: индексацию пенсий могут «пересчитать» при инфляции в 8-9%</w:t>
        </w:r>
        <w:r>
          <w:rPr>
            <w:noProof/>
            <w:webHidden/>
          </w:rPr>
          <w:tab/>
        </w:r>
        <w:r>
          <w:rPr>
            <w:noProof/>
            <w:webHidden/>
          </w:rPr>
          <w:fldChar w:fldCharType="begin"/>
        </w:r>
        <w:r>
          <w:rPr>
            <w:noProof/>
            <w:webHidden/>
          </w:rPr>
          <w:instrText xml:space="preserve"> PAGEREF _Toc183067310 \h </w:instrText>
        </w:r>
        <w:r>
          <w:rPr>
            <w:noProof/>
            <w:webHidden/>
          </w:rPr>
        </w:r>
        <w:r>
          <w:rPr>
            <w:noProof/>
            <w:webHidden/>
          </w:rPr>
          <w:fldChar w:fldCharType="separate"/>
        </w:r>
        <w:r>
          <w:rPr>
            <w:noProof/>
            <w:webHidden/>
          </w:rPr>
          <w:t>37</w:t>
        </w:r>
        <w:r>
          <w:rPr>
            <w:noProof/>
            <w:webHidden/>
          </w:rPr>
          <w:fldChar w:fldCharType="end"/>
        </w:r>
      </w:hyperlink>
    </w:p>
    <w:p w14:paraId="56F427D0" w14:textId="4625850D" w:rsidR="00CB0048" w:rsidRDefault="00CB0048">
      <w:pPr>
        <w:pStyle w:val="31"/>
        <w:rPr>
          <w:rFonts w:ascii="Calibri" w:hAnsi="Calibri"/>
          <w:kern w:val="2"/>
        </w:rPr>
      </w:pPr>
      <w:hyperlink w:anchor="_Toc183067311" w:history="1">
        <w:r w:rsidRPr="00FA5713">
          <w:rPr>
            <w:rStyle w:val="a3"/>
          </w:rPr>
          <w:t>В случае продолжения роста потребительских цен власти могут пересмотреть запланированные параметры индексации пенсий россиян в 2025 году, заявил NEWS.ru член комитета Госдумы РФ по бюджету и налогам Никита Чаплин. По его словам, если инфляция превысит прогноз в 7,3% и достигнет 8-9%, механизм перерасчета пенсий может стать вновь актуальным. Власти стремятся к тому, чтобы индексация данных выплат соответствовала текущим экономическим реалиям, добавил он.</w:t>
        </w:r>
        <w:r>
          <w:rPr>
            <w:webHidden/>
          </w:rPr>
          <w:tab/>
        </w:r>
        <w:r>
          <w:rPr>
            <w:webHidden/>
          </w:rPr>
          <w:fldChar w:fldCharType="begin"/>
        </w:r>
        <w:r>
          <w:rPr>
            <w:webHidden/>
          </w:rPr>
          <w:instrText xml:space="preserve"> PAGEREF _Toc183067311 \h </w:instrText>
        </w:r>
        <w:r>
          <w:rPr>
            <w:webHidden/>
          </w:rPr>
        </w:r>
        <w:r>
          <w:rPr>
            <w:webHidden/>
          </w:rPr>
          <w:fldChar w:fldCharType="separate"/>
        </w:r>
        <w:r>
          <w:rPr>
            <w:webHidden/>
          </w:rPr>
          <w:t>37</w:t>
        </w:r>
        <w:r>
          <w:rPr>
            <w:webHidden/>
          </w:rPr>
          <w:fldChar w:fldCharType="end"/>
        </w:r>
      </w:hyperlink>
    </w:p>
    <w:p w14:paraId="6FA8375E" w14:textId="51EF52E5" w:rsidR="00CB0048" w:rsidRDefault="00CB0048">
      <w:pPr>
        <w:pStyle w:val="21"/>
        <w:tabs>
          <w:tab w:val="right" w:leader="dot" w:pos="9061"/>
        </w:tabs>
        <w:rPr>
          <w:rFonts w:ascii="Calibri" w:hAnsi="Calibri"/>
          <w:noProof/>
          <w:kern w:val="2"/>
        </w:rPr>
      </w:pPr>
      <w:hyperlink w:anchor="_Toc183067312" w:history="1">
        <w:r w:rsidRPr="00FA5713">
          <w:rPr>
            <w:rStyle w:val="a3"/>
            <w:noProof/>
          </w:rPr>
          <w:t>АиФ, 20.11.2024, Есть условия. Эксперт рассказала, когда пенсии составят 40% от зарплаты</w:t>
        </w:r>
        <w:r>
          <w:rPr>
            <w:noProof/>
            <w:webHidden/>
          </w:rPr>
          <w:tab/>
        </w:r>
        <w:r>
          <w:rPr>
            <w:noProof/>
            <w:webHidden/>
          </w:rPr>
          <w:fldChar w:fldCharType="begin"/>
        </w:r>
        <w:r>
          <w:rPr>
            <w:noProof/>
            <w:webHidden/>
          </w:rPr>
          <w:instrText xml:space="preserve"> PAGEREF _Toc183067312 \h </w:instrText>
        </w:r>
        <w:r>
          <w:rPr>
            <w:noProof/>
            <w:webHidden/>
          </w:rPr>
        </w:r>
        <w:r>
          <w:rPr>
            <w:noProof/>
            <w:webHidden/>
          </w:rPr>
          <w:fldChar w:fldCharType="separate"/>
        </w:r>
        <w:r>
          <w:rPr>
            <w:noProof/>
            <w:webHidden/>
          </w:rPr>
          <w:t>37</w:t>
        </w:r>
        <w:r>
          <w:rPr>
            <w:noProof/>
            <w:webHidden/>
          </w:rPr>
          <w:fldChar w:fldCharType="end"/>
        </w:r>
      </w:hyperlink>
    </w:p>
    <w:p w14:paraId="23610511" w14:textId="7ACC32E0" w:rsidR="00CB0048" w:rsidRDefault="00CB0048">
      <w:pPr>
        <w:pStyle w:val="31"/>
        <w:rPr>
          <w:rFonts w:ascii="Calibri" w:hAnsi="Calibri"/>
          <w:kern w:val="2"/>
        </w:rPr>
      </w:pPr>
      <w:hyperlink w:anchor="_Toc183067313" w:history="1">
        <w:r w:rsidRPr="00FA5713">
          <w:rPr>
            <w:rStyle w:val="a3"/>
          </w:rPr>
          <w:t>Чтобы пенсия составляла 40% от средней заработной плате по стране, эти две выплаты должны индексироваться одинаковыми темпами. Однако это пока трудно реализовать, рассказала aif.ru доцент базовой кафедры Торгово-промышленной палаты РФ «Управление человеческими ресурсами» РЭУ имени Плеханова Людмила Иванова-Швец.</w:t>
        </w:r>
        <w:r>
          <w:rPr>
            <w:webHidden/>
          </w:rPr>
          <w:tab/>
        </w:r>
        <w:r>
          <w:rPr>
            <w:webHidden/>
          </w:rPr>
          <w:fldChar w:fldCharType="begin"/>
        </w:r>
        <w:r>
          <w:rPr>
            <w:webHidden/>
          </w:rPr>
          <w:instrText xml:space="preserve"> PAGEREF _Toc183067313 \h </w:instrText>
        </w:r>
        <w:r>
          <w:rPr>
            <w:webHidden/>
          </w:rPr>
        </w:r>
        <w:r>
          <w:rPr>
            <w:webHidden/>
          </w:rPr>
          <w:fldChar w:fldCharType="separate"/>
        </w:r>
        <w:r>
          <w:rPr>
            <w:webHidden/>
          </w:rPr>
          <w:t>37</w:t>
        </w:r>
        <w:r>
          <w:rPr>
            <w:webHidden/>
          </w:rPr>
          <w:fldChar w:fldCharType="end"/>
        </w:r>
      </w:hyperlink>
    </w:p>
    <w:p w14:paraId="5C0C10A6" w14:textId="2F32B85F" w:rsidR="00CB0048" w:rsidRDefault="00CB0048">
      <w:pPr>
        <w:pStyle w:val="21"/>
        <w:tabs>
          <w:tab w:val="right" w:leader="dot" w:pos="9061"/>
        </w:tabs>
        <w:rPr>
          <w:rFonts w:ascii="Calibri" w:hAnsi="Calibri"/>
          <w:noProof/>
          <w:kern w:val="2"/>
        </w:rPr>
      </w:pPr>
      <w:hyperlink w:anchor="_Toc183067314" w:history="1">
        <w:r w:rsidRPr="00FA5713">
          <w:rPr>
            <w:rStyle w:val="a3"/>
            <w:noProof/>
          </w:rPr>
          <w:t>АиФ, 20.11.2024, Пожилых увидели</w:t>
        </w:r>
        <w:r>
          <w:rPr>
            <w:noProof/>
            <w:webHidden/>
          </w:rPr>
          <w:tab/>
        </w:r>
        <w:r>
          <w:rPr>
            <w:noProof/>
            <w:webHidden/>
          </w:rPr>
          <w:fldChar w:fldCharType="begin"/>
        </w:r>
        <w:r>
          <w:rPr>
            <w:noProof/>
            <w:webHidden/>
          </w:rPr>
          <w:instrText xml:space="preserve"> PAGEREF _Toc183067314 \h </w:instrText>
        </w:r>
        <w:r>
          <w:rPr>
            <w:noProof/>
            <w:webHidden/>
          </w:rPr>
        </w:r>
        <w:r>
          <w:rPr>
            <w:noProof/>
            <w:webHidden/>
          </w:rPr>
          <w:fldChar w:fldCharType="separate"/>
        </w:r>
        <w:r>
          <w:rPr>
            <w:noProof/>
            <w:webHidden/>
          </w:rPr>
          <w:t>38</w:t>
        </w:r>
        <w:r>
          <w:rPr>
            <w:noProof/>
            <w:webHidden/>
          </w:rPr>
          <w:fldChar w:fldCharType="end"/>
        </w:r>
      </w:hyperlink>
    </w:p>
    <w:p w14:paraId="55E7A857" w14:textId="77EE213F" w:rsidR="00CB0048" w:rsidRDefault="00CB0048">
      <w:pPr>
        <w:pStyle w:val="31"/>
        <w:rPr>
          <w:rFonts w:ascii="Calibri" w:hAnsi="Calibri"/>
          <w:kern w:val="2"/>
        </w:rPr>
      </w:pPr>
      <w:hyperlink w:anchor="_Toc183067315" w:history="1">
        <w:r w:rsidRPr="00FA5713">
          <w:rPr>
            <w:rStyle w:val="a3"/>
          </w:rPr>
          <w:t>По прогнозам, средний размер страховой пенсии по старости к концу года составит около 22 тыс. рублей. А на какую зарплату могут претендовать те, кто решил поработать вместо заслуженного отдыха?</w:t>
        </w:r>
        <w:r>
          <w:rPr>
            <w:webHidden/>
          </w:rPr>
          <w:tab/>
        </w:r>
        <w:r>
          <w:rPr>
            <w:webHidden/>
          </w:rPr>
          <w:fldChar w:fldCharType="begin"/>
        </w:r>
        <w:r>
          <w:rPr>
            <w:webHidden/>
          </w:rPr>
          <w:instrText xml:space="preserve"> PAGEREF _Toc183067315 \h </w:instrText>
        </w:r>
        <w:r>
          <w:rPr>
            <w:webHidden/>
          </w:rPr>
        </w:r>
        <w:r>
          <w:rPr>
            <w:webHidden/>
          </w:rPr>
          <w:fldChar w:fldCharType="separate"/>
        </w:r>
        <w:r>
          <w:rPr>
            <w:webHidden/>
          </w:rPr>
          <w:t>38</w:t>
        </w:r>
        <w:r>
          <w:rPr>
            <w:webHidden/>
          </w:rPr>
          <w:fldChar w:fldCharType="end"/>
        </w:r>
      </w:hyperlink>
    </w:p>
    <w:p w14:paraId="3331EAFF" w14:textId="7DC91F38" w:rsidR="00CB0048" w:rsidRDefault="00CB0048">
      <w:pPr>
        <w:pStyle w:val="21"/>
        <w:tabs>
          <w:tab w:val="right" w:leader="dot" w:pos="9061"/>
        </w:tabs>
        <w:rPr>
          <w:rFonts w:ascii="Calibri" w:hAnsi="Calibri"/>
          <w:noProof/>
          <w:kern w:val="2"/>
        </w:rPr>
      </w:pPr>
      <w:hyperlink w:anchor="_Toc183067316" w:history="1">
        <w:r w:rsidRPr="00FA5713">
          <w:rPr>
            <w:rStyle w:val="a3"/>
            <w:noProof/>
          </w:rPr>
          <w:t>Конкурент, 20.11.2024, Вот это будет справедливо: пенсионерам сказали, какой должна быть их пенсия</w:t>
        </w:r>
        <w:r>
          <w:rPr>
            <w:noProof/>
            <w:webHidden/>
          </w:rPr>
          <w:tab/>
        </w:r>
        <w:r>
          <w:rPr>
            <w:noProof/>
            <w:webHidden/>
          </w:rPr>
          <w:fldChar w:fldCharType="begin"/>
        </w:r>
        <w:r>
          <w:rPr>
            <w:noProof/>
            <w:webHidden/>
          </w:rPr>
          <w:instrText xml:space="preserve"> PAGEREF _Toc183067316 \h </w:instrText>
        </w:r>
        <w:r>
          <w:rPr>
            <w:noProof/>
            <w:webHidden/>
          </w:rPr>
        </w:r>
        <w:r>
          <w:rPr>
            <w:noProof/>
            <w:webHidden/>
          </w:rPr>
          <w:fldChar w:fldCharType="separate"/>
        </w:r>
        <w:r>
          <w:rPr>
            <w:noProof/>
            <w:webHidden/>
          </w:rPr>
          <w:t>39</w:t>
        </w:r>
        <w:r>
          <w:rPr>
            <w:noProof/>
            <w:webHidden/>
          </w:rPr>
          <w:fldChar w:fldCharType="end"/>
        </w:r>
      </w:hyperlink>
    </w:p>
    <w:p w14:paraId="1D1106DD" w14:textId="33B8BE63" w:rsidR="00CB0048" w:rsidRDefault="00CB0048">
      <w:pPr>
        <w:pStyle w:val="31"/>
        <w:rPr>
          <w:rFonts w:ascii="Calibri" w:hAnsi="Calibri"/>
          <w:kern w:val="2"/>
        </w:rPr>
      </w:pPr>
      <w:hyperlink w:anchor="_Toc183067317" w:history="1">
        <w:r w:rsidRPr="00FA5713">
          <w:rPr>
            <w:rStyle w:val="a3"/>
          </w:rPr>
          <w:t>В России рассказали, какой должна быть справедливая пенсия для миллионов пожилых россиян. С новым заявлением выступил депутат Московской областной думы и председатель Союза пенсионеров Московской области Анатолий Никитин.</w:t>
        </w:r>
        <w:r>
          <w:rPr>
            <w:webHidden/>
          </w:rPr>
          <w:tab/>
        </w:r>
        <w:r>
          <w:rPr>
            <w:webHidden/>
          </w:rPr>
          <w:fldChar w:fldCharType="begin"/>
        </w:r>
        <w:r>
          <w:rPr>
            <w:webHidden/>
          </w:rPr>
          <w:instrText xml:space="preserve"> PAGEREF _Toc183067317 \h </w:instrText>
        </w:r>
        <w:r>
          <w:rPr>
            <w:webHidden/>
          </w:rPr>
        </w:r>
        <w:r>
          <w:rPr>
            <w:webHidden/>
          </w:rPr>
          <w:fldChar w:fldCharType="separate"/>
        </w:r>
        <w:r>
          <w:rPr>
            <w:webHidden/>
          </w:rPr>
          <w:t>39</w:t>
        </w:r>
        <w:r>
          <w:rPr>
            <w:webHidden/>
          </w:rPr>
          <w:fldChar w:fldCharType="end"/>
        </w:r>
      </w:hyperlink>
    </w:p>
    <w:p w14:paraId="3141180A" w14:textId="5899902D" w:rsidR="00CB0048" w:rsidRDefault="00CB0048">
      <w:pPr>
        <w:pStyle w:val="21"/>
        <w:tabs>
          <w:tab w:val="right" w:leader="dot" w:pos="9061"/>
        </w:tabs>
        <w:rPr>
          <w:rFonts w:ascii="Calibri" w:hAnsi="Calibri"/>
          <w:noProof/>
          <w:kern w:val="2"/>
        </w:rPr>
      </w:pPr>
      <w:hyperlink w:anchor="_Toc183067318" w:history="1">
        <w:r w:rsidRPr="00FA5713">
          <w:rPr>
            <w:rStyle w:val="a3"/>
            <w:noProof/>
          </w:rPr>
          <w:t>Конкурент, 20.11.2024, Столько получают российские пенсионеры. Размеры неприличные</w:t>
        </w:r>
        <w:r>
          <w:rPr>
            <w:noProof/>
            <w:webHidden/>
          </w:rPr>
          <w:tab/>
        </w:r>
        <w:r>
          <w:rPr>
            <w:noProof/>
            <w:webHidden/>
          </w:rPr>
          <w:fldChar w:fldCharType="begin"/>
        </w:r>
        <w:r>
          <w:rPr>
            <w:noProof/>
            <w:webHidden/>
          </w:rPr>
          <w:instrText xml:space="preserve"> PAGEREF _Toc183067318 \h </w:instrText>
        </w:r>
        <w:r>
          <w:rPr>
            <w:noProof/>
            <w:webHidden/>
          </w:rPr>
        </w:r>
        <w:r>
          <w:rPr>
            <w:noProof/>
            <w:webHidden/>
          </w:rPr>
          <w:fldChar w:fldCharType="separate"/>
        </w:r>
        <w:r>
          <w:rPr>
            <w:noProof/>
            <w:webHidden/>
          </w:rPr>
          <w:t>40</w:t>
        </w:r>
        <w:r>
          <w:rPr>
            <w:noProof/>
            <w:webHidden/>
          </w:rPr>
          <w:fldChar w:fldCharType="end"/>
        </w:r>
      </w:hyperlink>
    </w:p>
    <w:p w14:paraId="2944039D" w14:textId="7C8FDE53" w:rsidR="00CB0048" w:rsidRDefault="00CB0048">
      <w:pPr>
        <w:pStyle w:val="31"/>
        <w:rPr>
          <w:rFonts w:ascii="Calibri" w:hAnsi="Calibri"/>
          <w:kern w:val="2"/>
        </w:rPr>
      </w:pPr>
      <w:hyperlink w:anchor="_Toc183067319" w:history="1">
        <w:r w:rsidRPr="00FA5713">
          <w:rPr>
            <w:rStyle w:val="a3"/>
          </w:rPr>
          <w:t>Средняя пенсия по старости работающих пенсионеров в октябре составила 19,2 тыс. руб. - за год она выросла на 10%, говорится в статистике Соцфонда.</w:t>
        </w:r>
        <w:r>
          <w:rPr>
            <w:webHidden/>
          </w:rPr>
          <w:tab/>
        </w:r>
        <w:r>
          <w:rPr>
            <w:webHidden/>
          </w:rPr>
          <w:fldChar w:fldCharType="begin"/>
        </w:r>
        <w:r>
          <w:rPr>
            <w:webHidden/>
          </w:rPr>
          <w:instrText xml:space="preserve"> PAGEREF _Toc183067319 \h </w:instrText>
        </w:r>
        <w:r>
          <w:rPr>
            <w:webHidden/>
          </w:rPr>
        </w:r>
        <w:r>
          <w:rPr>
            <w:webHidden/>
          </w:rPr>
          <w:fldChar w:fldCharType="separate"/>
        </w:r>
        <w:r>
          <w:rPr>
            <w:webHidden/>
          </w:rPr>
          <w:t>40</w:t>
        </w:r>
        <w:r>
          <w:rPr>
            <w:webHidden/>
          </w:rPr>
          <w:fldChar w:fldCharType="end"/>
        </w:r>
      </w:hyperlink>
    </w:p>
    <w:p w14:paraId="314B588E" w14:textId="4DA9EEFB" w:rsidR="00CB0048" w:rsidRDefault="00CB0048">
      <w:pPr>
        <w:pStyle w:val="21"/>
        <w:tabs>
          <w:tab w:val="right" w:leader="dot" w:pos="9061"/>
        </w:tabs>
        <w:rPr>
          <w:rFonts w:ascii="Calibri" w:hAnsi="Calibri"/>
          <w:noProof/>
          <w:kern w:val="2"/>
        </w:rPr>
      </w:pPr>
      <w:hyperlink w:anchor="_Toc183067320" w:history="1">
        <w:r w:rsidRPr="00FA5713">
          <w:rPr>
            <w:rStyle w:val="a3"/>
            <w:noProof/>
          </w:rPr>
          <w:t>DEITA.ru, 20.11.2024, Часть неработающих пенсионеров не получит индексацию в январе</w:t>
        </w:r>
        <w:r>
          <w:rPr>
            <w:noProof/>
            <w:webHidden/>
          </w:rPr>
          <w:tab/>
        </w:r>
        <w:r>
          <w:rPr>
            <w:noProof/>
            <w:webHidden/>
          </w:rPr>
          <w:fldChar w:fldCharType="begin"/>
        </w:r>
        <w:r>
          <w:rPr>
            <w:noProof/>
            <w:webHidden/>
          </w:rPr>
          <w:instrText xml:space="preserve"> PAGEREF _Toc183067320 \h </w:instrText>
        </w:r>
        <w:r>
          <w:rPr>
            <w:noProof/>
            <w:webHidden/>
          </w:rPr>
        </w:r>
        <w:r>
          <w:rPr>
            <w:noProof/>
            <w:webHidden/>
          </w:rPr>
          <w:fldChar w:fldCharType="separate"/>
        </w:r>
        <w:r>
          <w:rPr>
            <w:noProof/>
            <w:webHidden/>
          </w:rPr>
          <w:t>40</w:t>
        </w:r>
        <w:r>
          <w:rPr>
            <w:noProof/>
            <w:webHidden/>
          </w:rPr>
          <w:fldChar w:fldCharType="end"/>
        </w:r>
      </w:hyperlink>
    </w:p>
    <w:p w14:paraId="3291141B" w14:textId="4A414C75" w:rsidR="00CB0048" w:rsidRDefault="00CB0048">
      <w:pPr>
        <w:pStyle w:val="31"/>
        <w:rPr>
          <w:rFonts w:ascii="Calibri" w:hAnsi="Calibri"/>
          <w:kern w:val="2"/>
        </w:rPr>
      </w:pPr>
      <w:hyperlink w:anchor="_Toc183067321" w:history="1">
        <w:r w:rsidRPr="00FA5713">
          <w:rPr>
            <w:rStyle w:val="a3"/>
          </w:rPr>
          <w:t>С 1 января 2025 года на 7,5% в России проиндексируют страховые пенсии неработающих граждан. Об этом представителям старшего поколения рассказали эксперты в сфере пенсионного обеспечения, сообщает ИА DEITA.RU.</w:t>
        </w:r>
        <w:r>
          <w:rPr>
            <w:webHidden/>
          </w:rPr>
          <w:tab/>
        </w:r>
        <w:r>
          <w:rPr>
            <w:webHidden/>
          </w:rPr>
          <w:fldChar w:fldCharType="begin"/>
        </w:r>
        <w:r>
          <w:rPr>
            <w:webHidden/>
          </w:rPr>
          <w:instrText xml:space="preserve"> PAGEREF _Toc183067321 \h </w:instrText>
        </w:r>
        <w:r>
          <w:rPr>
            <w:webHidden/>
          </w:rPr>
        </w:r>
        <w:r>
          <w:rPr>
            <w:webHidden/>
          </w:rPr>
          <w:fldChar w:fldCharType="separate"/>
        </w:r>
        <w:r>
          <w:rPr>
            <w:webHidden/>
          </w:rPr>
          <w:t>40</w:t>
        </w:r>
        <w:r>
          <w:rPr>
            <w:webHidden/>
          </w:rPr>
          <w:fldChar w:fldCharType="end"/>
        </w:r>
      </w:hyperlink>
    </w:p>
    <w:p w14:paraId="02BD2575" w14:textId="650C642F" w:rsidR="00CB0048" w:rsidRDefault="00CB0048">
      <w:pPr>
        <w:pStyle w:val="21"/>
        <w:tabs>
          <w:tab w:val="right" w:leader="dot" w:pos="9061"/>
        </w:tabs>
        <w:rPr>
          <w:rFonts w:ascii="Calibri" w:hAnsi="Calibri"/>
          <w:noProof/>
          <w:kern w:val="2"/>
        </w:rPr>
      </w:pPr>
      <w:hyperlink w:anchor="_Toc183067322" w:history="1">
        <w:r w:rsidRPr="00FA5713">
          <w:rPr>
            <w:rStyle w:val="a3"/>
            <w:noProof/>
          </w:rPr>
          <w:t>Пенсия.pro, 20.11.2024, Россиянам придется копить еще больше баллов для выхода на пенсию</w:t>
        </w:r>
        <w:r>
          <w:rPr>
            <w:noProof/>
            <w:webHidden/>
          </w:rPr>
          <w:tab/>
        </w:r>
        <w:r>
          <w:rPr>
            <w:noProof/>
            <w:webHidden/>
          </w:rPr>
          <w:fldChar w:fldCharType="begin"/>
        </w:r>
        <w:r>
          <w:rPr>
            <w:noProof/>
            <w:webHidden/>
          </w:rPr>
          <w:instrText xml:space="preserve"> PAGEREF _Toc183067322 \h </w:instrText>
        </w:r>
        <w:r>
          <w:rPr>
            <w:noProof/>
            <w:webHidden/>
          </w:rPr>
        </w:r>
        <w:r>
          <w:rPr>
            <w:noProof/>
            <w:webHidden/>
          </w:rPr>
          <w:fldChar w:fldCharType="separate"/>
        </w:r>
        <w:r>
          <w:rPr>
            <w:noProof/>
            <w:webHidden/>
          </w:rPr>
          <w:t>41</w:t>
        </w:r>
        <w:r>
          <w:rPr>
            <w:noProof/>
            <w:webHidden/>
          </w:rPr>
          <w:fldChar w:fldCharType="end"/>
        </w:r>
      </w:hyperlink>
    </w:p>
    <w:p w14:paraId="2D529E38" w14:textId="31D986A9" w:rsidR="00CB0048" w:rsidRDefault="00CB0048">
      <w:pPr>
        <w:pStyle w:val="31"/>
        <w:rPr>
          <w:rFonts w:ascii="Calibri" w:hAnsi="Calibri"/>
          <w:kern w:val="2"/>
        </w:rPr>
      </w:pPr>
      <w:hyperlink w:anchor="_Toc183067323" w:history="1">
        <w:r w:rsidRPr="00FA5713">
          <w:rPr>
            <w:rStyle w:val="a3"/>
          </w:rPr>
          <w:t>Необходимое для выхода на пенсию по трудовому стажу минимальное значение индивидуальных пенсионных коэффициентов (ИПК), в 2025 году вырастет — с 28,2 до 30 единиц. То есть для выхода на заслуженных отдых теперь нужно будет работать и зарабатывать еще больше, дал понять Соцфонд России.</w:t>
        </w:r>
        <w:r>
          <w:rPr>
            <w:webHidden/>
          </w:rPr>
          <w:tab/>
        </w:r>
        <w:r>
          <w:rPr>
            <w:webHidden/>
          </w:rPr>
          <w:fldChar w:fldCharType="begin"/>
        </w:r>
        <w:r>
          <w:rPr>
            <w:webHidden/>
          </w:rPr>
          <w:instrText xml:space="preserve"> PAGEREF _Toc183067323 \h </w:instrText>
        </w:r>
        <w:r>
          <w:rPr>
            <w:webHidden/>
          </w:rPr>
        </w:r>
        <w:r>
          <w:rPr>
            <w:webHidden/>
          </w:rPr>
          <w:fldChar w:fldCharType="separate"/>
        </w:r>
        <w:r>
          <w:rPr>
            <w:webHidden/>
          </w:rPr>
          <w:t>41</w:t>
        </w:r>
        <w:r>
          <w:rPr>
            <w:webHidden/>
          </w:rPr>
          <w:fldChar w:fldCharType="end"/>
        </w:r>
      </w:hyperlink>
    </w:p>
    <w:p w14:paraId="558CA455" w14:textId="1573A679" w:rsidR="00CB0048" w:rsidRDefault="00CB0048">
      <w:pPr>
        <w:pStyle w:val="21"/>
        <w:tabs>
          <w:tab w:val="right" w:leader="dot" w:pos="9061"/>
        </w:tabs>
        <w:rPr>
          <w:rFonts w:ascii="Calibri" w:hAnsi="Calibri"/>
          <w:noProof/>
          <w:kern w:val="2"/>
        </w:rPr>
      </w:pPr>
      <w:hyperlink w:anchor="_Toc183067324" w:history="1">
        <w:r w:rsidRPr="00FA5713">
          <w:rPr>
            <w:rStyle w:val="a3"/>
            <w:noProof/>
          </w:rPr>
          <w:t>Российская газета, 20.11.2024, Доцент МГУ Субботин: Россия подступает к «серебряной экономике»</w:t>
        </w:r>
        <w:r>
          <w:rPr>
            <w:noProof/>
            <w:webHidden/>
          </w:rPr>
          <w:tab/>
        </w:r>
        <w:r>
          <w:rPr>
            <w:noProof/>
            <w:webHidden/>
          </w:rPr>
          <w:fldChar w:fldCharType="begin"/>
        </w:r>
        <w:r>
          <w:rPr>
            <w:noProof/>
            <w:webHidden/>
          </w:rPr>
          <w:instrText xml:space="preserve"> PAGEREF _Toc183067324 \h </w:instrText>
        </w:r>
        <w:r>
          <w:rPr>
            <w:noProof/>
            <w:webHidden/>
          </w:rPr>
        </w:r>
        <w:r>
          <w:rPr>
            <w:noProof/>
            <w:webHidden/>
          </w:rPr>
          <w:fldChar w:fldCharType="separate"/>
        </w:r>
        <w:r>
          <w:rPr>
            <w:noProof/>
            <w:webHidden/>
          </w:rPr>
          <w:t>41</w:t>
        </w:r>
        <w:r>
          <w:rPr>
            <w:noProof/>
            <w:webHidden/>
          </w:rPr>
          <w:fldChar w:fldCharType="end"/>
        </w:r>
      </w:hyperlink>
    </w:p>
    <w:p w14:paraId="0F89477E" w14:textId="095D0AFE" w:rsidR="00CB0048" w:rsidRDefault="00CB0048">
      <w:pPr>
        <w:pStyle w:val="31"/>
        <w:rPr>
          <w:rFonts w:ascii="Calibri" w:hAnsi="Calibri"/>
          <w:kern w:val="2"/>
        </w:rPr>
      </w:pPr>
      <w:hyperlink w:anchor="_Toc183067325" w:history="1">
        <w:r w:rsidRPr="00FA5713">
          <w:rPr>
            <w:rStyle w:val="a3"/>
          </w:rPr>
          <w:t>Старение населения не следует воспринимать как проблему, а скорее как ожидаемый демографический вызов, который требует нового подхода к экономическим и социальным стратегиям. Такую точку зрения высказал «Российской газете» доцент кафедры демографии МГУ имени М.В. Ломоносова, кандидат социологических наук Александр Субботин.</w:t>
        </w:r>
        <w:r>
          <w:rPr>
            <w:webHidden/>
          </w:rPr>
          <w:tab/>
        </w:r>
        <w:r>
          <w:rPr>
            <w:webHidden/>
          </w:rPr>
          <w:fldChar w:fldCharType="begin"/>
        </w:r>
        <w:r>
          <w:rPr>
            <w:webHidden/>
          </w:rPr>
          <w:instrText xml:space="preserve"> PAGEREF _Toc183067325 \h </w:instrText>
        </w:r>
        <w:r>
          <w:rPr>
            <w:webHidden/>
          </w:rPr>
        </w:r>
        <w:r>
          <w:rPr>
            <w:webHidden/>
          </w:rPr>
          <w:fldChar w:fldCharType="separate"/>
        </w:r>
        <w:r>
          <w:rPr>
            <w:webHidden/>
          </w:rPr>
          <w:t>41</w:t>
        </w:r>
        <w:r>
          <w:rPr>
            <w:webHidden/>
          </w:rPr>
          <w:fldChar w:fldCharType="end"/>
        </w:r>
      </w:hyperlink>
    </w:p>
    <w:p w14:paraId="208874DB" w14:textId="6EBC2057" w:rsidR="00CB0048" w:rsidRDefault="00CB0048">
      <w:pPr>
        <w:pStyle w:val="12"/>
        <w:tabs>
          <w:tab w:val="right" w:leader="dot" w:pos="9061"/>
        </w:tabs>
        <w:rPr>
          <w:rFonts w:ascii="Calibri" w:hAnsi="Calibri"/>
          <w:b w:val="0"/>
          <w:noProof/>
          <w:kern w:val="2"/>
          <w:sz w:val="24"/>
        </w:rPr>
      </w:pPr>
      <w:hyperlink w:anchor="_Toc183067326" w:history="1">
        <w:r w:rsidRPr="00FA5713">
          <w:rPr>
            <w:rStyle w:val="a3"/>
            <w:noProof/>
          </w:rPr>
          <w:t>НОВОСТИ МАКРОЭКОНОМИКИ</w:t>
        </w:r>
        <w:r>
          <w:rPr>
            <w:noProof/>
            <w:webHidden/>
          </w:rPr>
          <w:tab/>
        </w:r>
        <w:r>
          <w:rPr>
            <w:noProof/>
            <w:webHidden/>
          </w:rPr>
          <w:fldChar w:fldCharType="begin"/>
        </w:r>
        <w:r>
          <w:rPr>
            <w:noProof/>
            <w:webHidden/>
          </w:rPr>
          <w:instrText xml:space="preserve"> PAGEREF _Toc183067326 \h </w:instrText>
        </w:r>
        <w:r>
          <w:rPr>
            <w:noProof/>
            <w:webHidden/>
          </w:rPr>
        </w:r>
        <w:r>
          <w:rPr>
            <w:noProof/>
            <w:webHidden/>
          </w:rPr>
          <w:fldChar w:fldCharType="separate"/>
        </w:r>
        <w:r>
          <w:rPr>
            <w:noProof/>
            <w:webHidden/>
          </w:rPr>
          <w:t>43</w:t>
        </w:r>
        <w:r>
          <w:rPr>
            <w:noProof/>
            <w:webHidden/>
          </w:rPr>
          <w:fldChar w:fldCharType="end"/>
        </w:r>
      </w:hyperlink>
    </w:p>
    <w:p w14:paraId="2DF7C55C" w14:textId="364304AE" w:rsidR="00CB0048" w:rsidRDefault="00CB0048">
      <w:pPr>
        <w:pStyle w:val="21"/>
        <w:tabs>
          <w:tab w:val="right" w:leader="dot" w:pos="9061"/>
        </w:tabs>
        <w:rPr>
          <w:rFonts w:ascii="Calibri" w:hAnsi="Calibri"/>
          <w:noProof/>
          <w:kern w:val="2"/>
        </w:rPr>
      </w:pPr>
      <w:hyperlink w:anchor="_Toc183067327" w:history="1">
        <w:r w:rsidRPr="00FA5713">
          <w:rPr>
            <w:rStyle w:val="a3"/>
            <w:noProof/>
          </w:rPr>
          <w:t>Коммерсантъ FM, 20.11.2024, Ожидания ЦБ сверили с реальностью</w:t>
        </w:r>
        <w:r>
          <w:rPr>
            <w:noProof/>
            <w:webHidden/>
          </w:rPr>
          <w:tab/>
        </w:r>
        <w:r>
          <w:rPr>
            <w:noProof/>
            <w:webHidden/>
          </w:rPr>
          <w:fldChar w:fldCharType="begin"/>
        </w:r>
        <w:r>
          <w:rPr>
            <w:noProof/>
            <w:webHidden/>
          </w:rPr>
          <w:instrText xml:space="preserve"> PAGEREF _Toc183067327 \h </w:instrText>
        </w:r>
        <w:r>
          <w:rPr>
            <w:noProof/>
            <w:webHidden/>
          </w:rPr>
        </w:r>
        <w:r>
          <w:rPr>
            <w:noProof/>
            <w:webHidden/>
          </w:rPr>
          <w:fldChar w:fldCharType="separate"/>
        </w:r>
        <w:r>
          <w:rPr>
            <w:noProof/>
            <w:webHidden/>
          </w:rPr>
          <w:t>43</w:t>
        </w:r>
        <w:r>
          <w:rPr>
            <w:noProof/>
            <w:webHidden/>
          </w:rPr>
          <w:fldChar w:fldCharType="end"/>
        </w:r>
      </w:hyperlink>
    </w:p>
    <w:p w14:paraId="155B1F0F" w14:textId="3E9D6415" w:rsidR="00CB0048" w:rsidRDefault="00CB0048">
      <w:pPr>
        <w:pStyle w:val="31"/>
        <w:rPr>
          <w:rFonts w:ascii="Calibri" w:hAnsi="Calibri"/>
          <w:kern w:val="2"/>
        </w:rPr>
      </w:pPr>
      <w:hyperlink w:anchor="_Toc183067328" w:history="1">
        <w:r w:rsidRPr="00FA5713">
          <w:rPr>
            <w:rStyle w:val="a3"/>
          </w:rPr>
          <w:t>Ценовые ожидания бизнеса растут третий месяц подряд. В ноябре они достигли максимума с мая 2022-го, следует из опроса компаний, который провел Центробанк. Его участники заявили, что будут повышать цены на свою продукцию в том числе из-за роста с января налоговой нагрузки, удорожания ЖКХ и роста минимального размера оплаты труда. Также бизнес готовится к заметному ухудшению условий кредитования.</w:t>
        </w:r>
        <w:r>
          <w:rPr>
            <w:webHidden/>
          </w:rPr>
          <w:tab/>
        </w:r>
        <w:r>
          <w:rPr>
            <w:webHidden/>
          </w:rPr>
          <w:fldChar w:fldCharType="begin"/>
        </w:r>
        <w:r>
          <w:rPr>
            <w:webHidden/>
          </w:rPr>
          <w:instrText xml:space="preserve"> PAGEREF _Toc183067328 \h </w:instrText>
        </w:r>
        <w:r>
          <w:rPr>
            <w:webHidden/>
          </w:rPr>
        </w:r>
        <w:r>
          <w:rPr>
            <w:webHidden/>
          </w:rPr>
          <w:fldChar w:fldCharType="separate"/>
        </w:r>
        <w:r>
          <w:rPr>
            <w:webHidden/>
          </w:rPr>
          <w:t>43</w:t>
        </w:r>
        <w:r>
          <w:rPr>
            <w:webHidden/>
          </w:rPr>
          <w:fldChar w:fldCharType="end"/>
        </w:r>
      </w:hyperlink>
    </w:p>
    <w:p w14:paraId="63C3449C" w14:textId="2B961B71" w:rsidR="00CB0048" w:rsidRDefault="00CB0048">
      <w:pPr>
        <w:pStyle w:val="21"/>
        <w:tabs>
          <w:tab w:val="right" w:leader="dot" w:pos="9061"/>
        </w:tabs>
        <w:rPr>
          <w:rFonts w:ascii="Calibri" w:hAnsi="Calibri"/>
          <w:noProof/>
          <w:kern w:val="2"/>
        </w:rPr>
      </w:pPr>
      <w:hyperlink w:anchor="_Toc183067329" w:history="1">
        <w:r w:rsidRPr="00FA5713">
          <w:rPr>
            <w:rStyle w:val="a3"/>
            <w:noProof/>
          </w:rPr>
          <w:t>РИА Новости, 20.11.2024, ФНС напомнила россиянам о необходимости заплатить налог на доход от банковских вкладов</w:t>
        </w:r>
        <w:r>
          <w:rPr>
            <w:noProof/>
            <w:webHidden/>
          </w:rPr>
          <w:tab/>
        </w:r>
        <w:r>
          <w:rPr>
            <w:noProof/>
            <w:webHidden/>
          </w:rPr>
          <w:fldChar w:fldCharType="begin"/>
        </w:r>
        <w:r>
          <w:rPr>
            <w:noProof/>
            <w:webHidden/>
          </w:rPr>
          <w:instrText xml:space="preserve"> PAGEREF _Toc183067329 \h </w:instrText>
        </w:r>
        <w:r>
          <w:rPr>
            <w:noProof/>
            <w:webHidden/>
          </w:rPr>
        </w:r>
        <w:r>
          <w:rPr>
            <w:noProof/>
            <w:webHidden/>
          </w:rPr>
          <w:fldChar w:fldCharType="separate"/>
        </w:r>
        <w:r>
          <w:rPr>
            <w:noProof/>
            <w:webHidden/>
          </w:rPr>
          <w:t>44</w:t>
        </w:r>
        <w:r>
          <w:rPr>
            <w:noProof/>
            <w:webHidden/>
          </w:rPr>
          <w:fldChar w:fldCharType="end"/>
        </w:r>
      </w:hyperlink>
    </w:p>
    <w:p w14:paraId="552BFD6C" w14:textId="1E7D6090" w:rsidR="00CB0048" w:rsidRDefault="00CB0048">
      <w:pPr>
        <w:pStyle w:val="31"/>
        <w:rPr>
          <w:rFonts w:ascii="Calibri" w:hAnsi="Calibri"/>
          <w:kern w:val="2"/>
        </w:rPr>
      </w:pPr>
      <w:hyperlink w:anchor="_Toc183067330" w:history="1">
        <w:r w:rsidRPr="00FA5713">
          <w:rPr>
            <w:rStyle w:val="a3"/>
          </w:rPr>
          <w:t>Федеральная налоговая служба России (ФНС) напомнила россиянам о необходимости заплатить налог на доходы от банковских вкладов, если общая сумма этих доходов за 2023 год превысила 150 тысяч рублей.</w:t>
        </w:r>
        <w:r>
          <w:rPr>
            <w:webHidden/>
          </w:rPr>
          <w:tab/>
        </w:r>
        <w:r>
          <w:rPr>
            <w:webHidden/>
          </w:rPr>
          <w:fldChar w:fldCharType="begin"/>
        </w:r>
        <w:r>
          <w:rPr>
            <w:webHidden/>
          </w:rPr>
          <w:instrText xml:space="preserve"> PAGEREF _Toc183067330 \h </w:instrText>
        </w:r>
        <w:r>
          <w:rPr>
            <w:webHidden/>
          </w:rPr>
        </w:r>
        <w:r>
          <w:rPr>
            <w:webHidden/>
          </w:rPr>
          <w:fldChar w:fldCharType="separate"/>
        </w:r>
        <w:r>
          <w:rPr>
            <w:webHidden/>
          </w:rPr>
          <w:t>44</w:t>
        </w:r>
        <w:r>
          <w:rPr>
            <w:webHidden/>
          </w:rPr>
          <w:fldChar w:fldCharType="end"/>
        </w:r>
      </w:hyperlink>
    </w:p>
    <w:p w14:paraId="13A5EF87" w14:textId="5E39CBCD" w:rsidR="00CB0048" w:rsidRDefault="00CB0048">
      <w:pPr>
        <w:pStyle w:val="21"/>
        <w:tabs>
          <w:tab w:val="right" w:leader="dot" w:pos="9061"/>
        </w:tabs>
        <w:rPr>
          <w:rFonts w:ascii="Calibri" w:hAnsi="Calibri"/>
          <w:noProof/>
          <w:kern w:val="2"/>
        </w:rPr>
      </w:pPr>
      <w:hyperlink w:anchor="_Toc183067331" w:history="1">
        <w:r w:rsidRPr="00FA5713">
          <w:rPr>
            <w:rStyle w:val="a3"/>
            <w:noProof/>
          </w:rPr>
          <w:t>РИА Новости, 20.11.2024, СФ уточнил критерии для розничных квалифицированных инвесторов</w:t>
        </w:r>
        <w:r>
          <w:rPr>
            <w:noProof/>
            <w:webHidden/>
          </w:rPr>
          <w:tab/>
        </w:r>
        <w:r>
          <w:rPr>
            <w:noProof/>
            <w:webHidden/>
          </w:rPr>
          <w:fldChar w:fldCharType="begin"/>
        </w:r>
        <w:r>
          <w:rPr>
            <w:noProof/>
            <w:webHidden/>
          </w:rPr>
          <w:instrText xml:space="preserve"> PAGEREF _Toc183067331 \h </w:instrText>
        </w:r>
        <w:r>
          <w:rPr>
            <w:noProof/>
            <w:webHidden/>
          </w:rPr>
        </w:r>
        <w:r>
          <w:rPr>
            <w:noProof/>
            <w:webHidden/>
          </w:rPr>
          <w:fldChar w:fldCharType="separate"/>
        </w:r>
        <w:r>
          <w:rPr>
            <w:noProof/>
            <w:webHidden/>
          </w:rPr>
          <w:t>45</w:t>
        </w:r>
        <w:r>
          <w:rPr>
            <w:noProof/>
            <w:webHidden/>
          </w:rPr>
          <w:fldChar w:fldCharType="end"/>
        </w:r>
      </w:hyperlink>
    </w:p>
    <w:p w14:paraId="5FE2D8F8" w14:textId="2AF45C36" w:rsidR="00CB0048" w:rsidRDefault="00CB0048">
      <w:pPr>
        <w:pStyle w:val="31"/>
        <w:rPr>
          <w:rFonts w:ascii="Calibri" w:hAnsi="Calibri"/>
          <w:kern w:val="2"/>
        </w:rPr>
      </w:pPr>
      <w:hyperlink w:anchor="_Toc183067332" w:history="1">
        <w:r w:rsidRPr="00FA5713">
          <w:rPr>
            <w:rStyle w:val="a3"/>
          </w:rPr>
          <w:t>Сенаторы одобрили закон, вводящий новые критерии для получения физлицами статуса квалифицированного инвестора, а также позволяющий использовать комбинацию разных критериев.</w:t>
        </w:r>
        <w:r>
          <w:rPr>
            <w:webHidden/>
          </w:rPr>
          <w:tab/>
        </w:r>
        <w:r>
          <w:rPr>
            <w:webHidden/>
          </w:rPr>
          <w:fldChar w:fldCharType="begin"/>
        </w:r>
        <w:r>
          <w:rPr>
            <w:webHidden/>
          </w:rPr>
          <w:instrText xml:space="preserve"> PAGEREF _Toc183067332 \h </w:instrText>
        </w:r>
        <w:r>
          <w:rPr>
            <w:webHidden/>
          </w:rPr>
        </w:r>
        <w:r>
          <w:rPr>
            <w:webHidden/>
          </w:rPr>
          <w:fldChar w:fldCharType="separate"/>
        </w:r>
        <w:r>
          <w:rPr>
            <w:webHidden/>
          </w:rPr>
          <w:t>45</w:t>
        </w:r>
        <w:r>
          <w:rPr>
            <w:webHidden/>
          </w:rPr>
          <w:fldChar w:fldCharType="end"/>
        </w:r>
      </w:hyperlink>
    </w:p>
    <w:p w14:paraId="1CAA9483" w14:textId="319C2742" w:rsidR="00CB0048" w:rsidRDefault="00CB0048">
      <w:pPr>
        <w:pStyle w:val="21"/>
        <w:tabs>
          <w:tab w:val="right" w:leader="dot" w:pos="9061"/>
        </w:tabs>
        <w:rPr>
          <w:rFonts w:ascii="Calibri" w:hAnsi="Calibri"/>
          <w:noProof/>
          <w:kern w:val="2"/>
        </w:rPr>
      </w:pPr>
      <w:hyperlink w:anchor="_Toc183067333" w:history="1">
        <w:r w:rsidRPr="00FA5713">
          <w:rPr>
            <w:rStyle w:val="a3"/>
            <w:noProof/>
          </w:rPr>
          <w:t>РИА Новости, 20.11.2024, Силуанов назвал рыночный курс рубля столпом денежно-кредитной политики РФ</w:t>
        </w:r>
        <w:r>
          <w:rPr>
            <w:noProof/>
            <w:webHidden/>
          </w:rPr>
          <w:tab/>
        </w:r>
        <w:r>
          <w:rPr>
            <w:noProof/>
            <w:webHidden/>
          </w:rPr>
          <w:fldChar w:fldCharType="begin"/>
        </w:r>
        <w:r>
          <w:rPr>
            <w:noProof/>
            <w:webHidden/>
          </w:rPr>
          <w:instrText xml:space="preserve"> PAGEREF _Toc183067333 \h </w:instrText>
        </w:r>
        <w:r>
          <w:rPr>
            <w:noProof/>
            <w:webHidden/>
          </w:rPr>
        </w:r>
        <w:r>
          <w:rPr>
            <w:noProof/>
            <w:webHidden/>
          </w:rPr>
          <w:fldChar w:fldCharType="separate"/>
        </w:r>
        <w:r>
          <w:rPr>
            <w:noProof/>
            <w:webHidden/>
          </w:rPr>
          <w:t>46</w:t>
        </w:r>
        <w:r>
          <w:rPr>
            <w:noProof/>
            <w:webHidden/>
          </w:rPr>
          <w:fldChar w:fldCharType="end"/>
        </w:r>
      </w:hyperlink>
    </w:p>
    <w:p w14:paraId="57102713" w14:textId="36C91B92" w:rsidR="00CB0048" w:rsidRDefault="00CB0048">
      <w:pPr>
        <w:pStyle w:val="31"/>
        <w:rPr>
          <w:rFonts w:ascii="Calibri" w:hAnsi="Calibri"/>
          <w:kern w:val="2"/>
        </w:rPr>
      </w:pPr>
      <w:hyperlink w:anchor="_Toc183067334" w:history="1">
        <w:r w:rsidRPr="00FA5713">
          <w:rPr>
            <w:rStyle w:val="a3"/>
          </w:rPr>
          <w:t>Курс рубля не должен регулироваться властями, его рыночное формирование является столпом денежно-кредитной политики РФ, заявил министр финансов РФ Антон Силуанов в интервью Наиле Аскер-заде на канале «Россия 1».</w:t>
        </w:r>
        <w:r>
          <w:rPr>
            <w:webHidden/>
          </w:rPr>
          <w:tab/>
        </w:r>
        <w:r>
          <w:rPr>
            <w:webHidden/>
          </w:rPr>
          <w:fldChar w:fldCharType="begin"/>
        </w:r>
        <w:r>
          <w:rPr>
            <w:webHidden/>
          </w:rPr>
          <w:instrText xml:space="preserve"> PAGEREF _Toc183067334 \h </w:instrText>
        </w:r>
        <w:r>
          <w:rPr>
            <w:webHidden/>
          </w:rPr>
        </w:r>
        <w:r>
          <w:rPr>
            <w:webHidden/>
          </w:rPr>
          <w:fldChar w:fldCharType="separate"/>
        </w:r>
        <w:r>
          <w:rPr>
            <w:webHidden/>
          </w:rPr>
          <w:t>46</w:t>
        </w:r>
        <w:r>
          <w:rPr>
            <w:webHidden/>
          </w:rPr>
          <w:fldChar w:fldCharType="end"/>
        </w:r>
      </w:hyperlink>
    </w:p>
    <w:p w14:paraId="21B7FAAA" w14:textId="795B7287" w:rsidR="00CB0048" w:rsidRDefault="00CB0048">
      <w:pPr>
        <w:pStyle w:val="21"/>
        <w:tabs>
          <w:tab w:val="right" w:leader="dot" w:pos="9061"/>
        </w:tabs>
        <w:rPr>
          <w:rFonts w:ascii="Calibri" w:hAnsi="Calibri"/>
          <w:noProof/>
          <w:kern w:val="2"/>
        </w:rPr>
      </w:pPr>
      <w:hyperlink w:anchor="_Toc183067335" w:history="1">
        <w:r w:rsidRPr="00FA5713">
          <w:rPr>
            <w:rStyle w:val="a3"/>
            <w:noProof/>
          </w:rPr>
          <w:t>ТАСС, 20.11.2024, Годовая инфляция с 12 по 18 ноября ускорилась до 8,68% с 8,56% - МЭР</w:t>
        </w:r>
        <w:r>
          <w:rPr>
            <w:noProof/>
            <w:webHidden/>
          </w:rPr>
          <w:tab/>
        </w:r>
        <w:r>
          <w:rPr>
            <w:noProof/>
            <w:webHidden/>
          </w:rPr>
          <w:fldChar w:fldCharType="begin"/>
        </w:r>
        <w:r>
          <w:rPr>
            <w:noProof/>
            <w:webHidden/>
          </w:rPr>
          <w:instrText xml:space="preserve"> PAGEREF _Toc183067335 \h </w:instrText>
        </w:r>
        <w:r>
          <w:rPr>
            <w:noProof/>
            <w:webHidden/>
          </w:rPr>
        </w:r>
        <w:r>
          <w:rPr>
            <w:noProof/>
            <w:webHidden/>
          </w:rPr>
          <w:fldChar w:fldCharType="separate"/>
        </w:r>
        <w:r>
          <w:rPr>
            <w:noProof/>
            <w:webHidden/>
          </w:rPr>
          <w:t>47</w:t>
        </w:r>
        <w:r>
          <w:rPr>
            <w:noProof/>
            <w:webHidden/>
          </w:rPr>
          <w:fldChar w:fldCharType="end"/>
        </w:r>
      </w:hyperlink>
    </w:p>
    <w:p w14:paraId="2A1821C7" w14:textId="50B11C4B" w:rsidR="00CB0048" w:rsidRDefault="00CB0048">
      <w:pPr>
        <w:pStyle w:val="31"/>
        <w:rPr>
          <w:rFonts w:ascii="Calibri" w:hAnsi="Calibri"/>
          <w:kern w:val="2"/>
        </w:rPr>
      </w:pPr>
      <w:hyperlink w:anchor="_Toc183067336" w:history="1">
        <w:r w:rsidRPr="00FA5713">
          <w:rPr>
            <w:rStyle w:val="a3"/>
          </w:rPr>
          <w:t>Годовая инфляция в РФ на неделе с 12 по 18 ноября ускорилась с 8,56% до 8,68%. Об этом говорится в обзоре о текущей ценовой ситуации, подготовленном Минэкономразвития.</w:t>
        </w:r>
        <w:r>
          <w:rPr>
            <w:webHidden/>
          </w:rPr>
          <w:tab/>
        </w:r>
        <w:r>
          <w:rPr>
            <w:webHidden/>
          </w:rPr>
          <w:fldChar w:fldCharType="begin"/>
        </w:r>
        <w:r>
          <w:rPr>
            <w:webHidden/>
          </w:rPr>
          <w:instrText xml:space="preserve"> PAGEREF _Toc183067336 \h </w:instrText>
        </w:r>
        <w:r>
          <w:rPr>
            <w:webHidden/>
          </w:rPr>
        </w:r>
        <w:r>
          <w:rPr>
            <w:webHidden/>
          </w:rPr>
          <w:fldChar w:fldCharType="separate"/>
        </w:r>
        <w:r>
          <w:rPr>
            <w:webHidden/>
          </w:rPr>
          <w:t>47</w:t>
        </w:r>
        <w:r>
          <w:rPr>
            <w:webHidden/>
          </w:rPr>
          <w:fldChar w:fldCharType="end"/>
        </w:r>
      </w:hyperlink>
    </w:p>
    <w:p w14:paraId="7AD496D9" w14:textId="7DC9DFDD" w:rsidR="00CB0048" w:rsidRDefault="00CB0048">
      <w:pPr>
        <w:pStyle w:val="21"/>
        <w:tabs>
          <w:tab w:val="right" w:leader="dot" w:pos="9061"/>
        </w:tabs>
        <w:rPr>
          <w:rFonts w:ascii="Calibri" w:hAnsi="Calibri"/>
          <w:noProof/>
          <w:kern w:val="2"/>
        </w:rPr>
      </w:pPr>
      <w:hyperlink w:anchor="_Toc183067337" w:history="1">
        <w:r w:rsidRPr="00FA5713">
          <w:rPr>
            <w:rStyle w:val="a3"/>
            <w:noProof/>
          </w:rPr>
          <w:t>РИА Новости, 20.11.2024, Инфляция в РФ на неделе с 12 по 18 ноября составила 0,37% - Росстат</w:t>
        </w:r>
        <w:r>
          <w:rPr>
            <w:noProof/>
            <w:webHidden/>
          </w:rPr>
          <w:tab/>
        </w:r>
        <w:r>
          <w:rPr>
            <w:noProof/>
            <w:webHidden/>
          </w:rPr>
          <w:fldChar w:fldCharType="begin"/>
        </w:r>
        <w:r>
          <w:rPr>
            <w:noProof/>
            <w:webHidden/>
          </w:rPr>
          <w:instrText xml:space="preserve"> PAGEREF _Toc183067337 \h </w:instrText>
        </w:r>
        <w:r>
          <w:rPr>
            <w:noProof/>
            <w:webHidden/>
          </w:rPr>
        </w:r>
        <w:r>
          <w:rPr>
            <w:noProof/>
            <w:webHidden/>
          </w:rPr>
          <w:fldChar w:fldCharType="separate"/>
        </w:r>
        <w:r>
          <w:rPr>
            <w:noProof/>
            <w:webHidden/>
          </w:rPr>
          <w:t>48</w:t>
        </w:r>
        <w:r>
          <w:rPr>
            <w:noProof/>
            <w:webHidden/>
          </w:rPr>
          <w:fldChar w:fldCharType="end"/>
        </w:r>
      </w:hyperlink>
    </w:p>
    <w:p w14:paraId="48ABEE94" w14:textId="3A9ECF4F" w:rsidR="00CB0048" w:rsidRDefault="00CB0048">
      <w:pPr>
        <w:pStyle w:val="31"/>
        <w:rPr>
          <w:rFonts w:ascii="Calibri" w:hAnsi="Calibri"/>
          <w:kern w:val="2"/>
        </w:rPr>
      </w:pPr>
      <w:hyperlink w:anchor="_Toc183067338" w:history="1">
        <w:r w:rsidRPr="00FA5713">
          <w:rPr>
            <w:rStyle w:val="a3"/>
          </w:rPr>
          <w:t>Инфляция в России за период с 12 по 18 ноября составила 0,37%, с начала года цены выросли на 7,41%, следует из публикации Росстата.</w:t>
        </w:r>
        <w:r>
          <w:rPr>
            <w:webHidden/>
          </w:rPr>
          <w:tab/>
        </w:r>
        <w:r>
          <w:rPr>
            <w:webHidden/>
          </w:rPr>
          <w:fldChar w:fldCharType="begin"/>
        </w:r>
        <w:r>
          <w:rPr>
            <w:webHidden/>
          </w:rPr>
          <w:instrText xml:space="preserve"> PAGEREF _Toc183067338 \h </w:instrText>
        </w:r>
        <w:r>
          <w:rPr>
            <w:webHidden/>
          </w:rPr>
        </w:r>
        <w:r>
          <w:rPr>
            <w:webHidden/>
          </w:rPr>
          <w:fldChar w:fldCharType="separate"/>
        </w:r>
        <w:r>
          <w:rPr>
            <w:webHidden/>
          </w:rPr>
          <w:t>48</w:t>
        </w:r>
        <w:r>
          <w:rPr>
            <w:webHidden/>
          </w:rPr>
          <w:fldChar w:fldCharType="end"/>
        </w:r>
      </w:hyperlink>
    </w:p>
    <w:p w14:paraId="06EC8567" w14:textId="2948EE39" w:rsidR="00CB0048" w:rsidRDefault="00CB0048">
      <w:pPr>
        <w:pStyle w:val="21"/>
        <w:tabs>
          <w:tab w:val="right" w:leader="dot" w:pos="9061"/>
        </w:tabs>
        <w:rPr>
          <w:rFonts w:ascii="Calibri" w:hAnsi="Calibri"/>
          <w:noProof/>
          <w:kern w:val="2"/>
        </w:rPr>
      </w:pPr>
      <w:hyperlink w:anchor="_Toc183067339" w:history="1">
        <w:r w:rsidRPr="00FA5713">
          <w:rPr>
            <w:rStyle w:val="a3"/>
            <w:noProof/>
          </w:rPr>
          <w:t>РИА Новости, 20.11.2024, Тестирование неквалифицированных инвесторов с 2021 года прошли 12,5 млн человек - ЦБ РФ</w:t>
        </w:r>
        <w:r>
          <w:rPr>
            <w:noProof/>
            <w:webHidden/>
          </w:rPr>
          <w:tab/>
        </w:r>
        <w:r>
          <w:rPr>
            <w:noProof/>
            <w:webHidden/>
          </w:rPr>
          <w:fldChar w:fldCharType="begin"/>
        </w:r>
        <w:r>
          <w:rPr>
            <w:noProof/>
            <w:webHidden/>
          </w:rPr>
          <w:instrText xml:space="preserve"> PAGEREF _Toc183067339 \h </w:instrText>
        </w:r>
        <w:r>
          <w:rPr>
            <w:noProof/>
            <w:webHidden/>
          </w:rPr>
        </w:r>
        <w:r>
          <w:rPr>
            <w:noProof/>
            <w:webHidden/>
          </w:rPr>
          <w:fldChar w:fldCharType="separate"/>
        </w:r>
        <w:r>
          <w:rPr>
            <w:noProof/>
            <w:webHidden/>
          </w:rPr>
          <w:t>49</w:t>
        </w:r>
        <w:r>
          <w:rPr>
            <w:noProof/>
            <w:webHidden/>
          </w:rPr>
          <w:fldChar w:fldCharType="end"/>
        </w:r>
      </w:hyperlink>
    </w:p>
    <w:p w14:paraId="3AC66788" w14:textId="5EF030A1" w:rsidR="00CB0048" w:rsidRDefault="00CB0048">
      <w:pPr>
        <w:pStyle w:val="31"/>
        <w:rPr>
          <w:rFonts w:ascii="Calibri" w:hAnsi="Calibri"/>
          <w:kern w:val="2"/>
        </w:rPr>
      </w:pPr>
      <w:hyperlink w:anchor="_Toc183067340" w:history="1">
        <w:r w:rsidRPr="00FA5713">
          <w:rPr>
            <w:rStyle w:val="a3"/>
          </w:rPr>
          <w:t>Обязательное тестирование неквалифицированных инвесторов с момента начала его действия в 2021 году прошли 12,5 миллиона человек, из них треть - успешно, рассказал руководитель службы по защите прав потребителей и обеспечению доступности финансовых услуг Банка России Михаил Мамута.</w:t>
        </w:r>
        <w:r>
          <w:rPr>
            <w:webHidden/>
          </w:rPr>
          <w:tab/>
        </w:r>
        <w:r>
          <w:rPr>
            <w:webHidden/>
          </w:rPr>
          <w:fldChar w:fldCharType="begin"/>
        </w:r>
        <w:r>
          <w:rPr>
            <w:webHidden/>
          </w:rPr>
          <w:instrText xml:space="preserve"> PAGEREF _Toc183067340 \h </w:instrText>
        </w:r>
        <w:r>
          <w:rPr>
            <w:webHidden/>
          </w:rPr>
        </w:r>
        <w:r>
          <w:rPr>
            <w:webHidden/>
          </w:rPr>
          <w:fldChar w:fldCharType="separate"/>
        </w:r>
        <w:r>
          <w:rPr>
            <w:webHidden/>
          </w:rPr>
          <w:t>49</w:t>
        </w:r>
        <w:r>
          <w:rPr>
            <w:webHidden/>
          </w:rPr>
          <w:fldChar w:fldCharType="end"/>
        </w:r>
      </w:hyperlink>
    </w:p>
    <w:p w14:paraId="687E9F33" w14:textId="22BCD054" w:rsidR="00CB0048" w:rsidRDefault="00CB0048">
      <w:pPr>
        <w:pStyle w:val="21"/>
        <w:tabs>
          <w:tab w:val="right" w:leader="dot" w:pos="9061"/>
        </w:tabs>
        <w:rPr>
          <w:rFonts w:ascii="Calibri" w:hAnsi="Calibri"/>
          <w:noProof/>
          <w:kern w:val="2"/>
        </w:rPr>
      </w:pPr>
      <w:hyperlink w:anchor="_Toc183067341" w:history="1">
        <w:r w:rsidRPr="00FA5713">
          <w:rPr>
            <w:rStyle w:val="a3"/>
            <w:noProof/>
          </w:rPr>
          <w:t>РИА Новости, 20.11.2024, ЦБ РФ назвал абсурдом, когда финорганизации предлагают физлицам кредит для инвестиций</w:t>
        </w:r>
        <w:r>
          <w:rPr>
            <w:noProof/>
            <w:webHidden/>
          </w:rPr>
          <w:tab/>
        </w:r>
        <w:r>
          <w:rPr>
            <w:noProof/>
            <w:webHidden/>
          </w:rPr>
          <w:fldChar w:fldCharType="begin"/>
        </w:r>
        <w:r>
          <w:rPr>
            <w:noProof/>
            <w:webHidden/>
          </w:rPr>
          <w:instrText xml:space="preserve"> PAGEREF _Toc183067341 \h </w:instrText>
        </w:r>
        <w:r>
          <w:rPr>
            <w:noProof/>
            <w:webHidden/>
          </w:rPr>
        </w:r>
        <w:r>
          <w:rPr>
            <w:noProof/>
            <w:webHidden/>
          </w:rPr>
          <w:fldChar w:fldCharType="separate"/>
        </w:r>
        <w:r>
          <w:rPr>
            <w:noProof/>
            <w:webHidden/>
          </w:rPr>
          <w:t>49</w:t>
        </w:r>
        <w:r>
          <w:rPr>
            <w:noProof/>
            <w:webHidden/>
          </w:rPr>
          <w:fldChar w:fldCharType="end"/>
        </w:r>
      </w:hyperlink>
    </w:p>
    <w:p w14:paraId="5CAE5CB7" w14:textId="6F31B7C3" w:rsidR="00CB0048" w:rsidRDefault="00CB0048">
      <w:pPr>
        <w:pStyle w:val="31"/>
        <w:rPr>
          <w:rFonts w:ascii="Calibri" w:hAnsi="Calibri"/>
          <w:kern w:val="2"/>
        </w:rPr>
      </w:pPr>
      <w:hyperlink w:anchor="_Toc183067342" w:history="1">
        <w:r w:rsidRPr="00FA5713">
          <w:rPr>
            <w:rStyle w:val="a3"/>
          </w:rPr>
          <w:t>Банк России считает абсурдом, когда финансовые организации предлагают частным клиентам кредит для инвестирования этих заемных средств, заявил начальник управления поведенческого надзора за субъектами рынка ценных бумаг и коллективных инвестиций Службы по защите прав потребителей и обеспечению доступности финансовых услуг ЦБ Петр Ломакин.</w:t>
        </w:r>
        <w:r>
          <w:rPr>
            <w:webHidden/>
          </w:rPr>
          <w:tab/>
        </w:r>
        <w:r>
          <w:rPr>
            <w:webHidden/>
          </w:rPr>
          <w:fldChar w:fldCharType="begin"/>
        </w:r>
        <w:r>
          <w:rPr>
            <w:webHidden/>
          </w:rPr>
          <w:instrText xml:space="preserve"> PAGEREF _Toc183067342 \h </w:instrText>
        </w:r>
        <w:r>
          <w:rPr>
            <w:webHidden/>
          </w:rPr>
        </w:r>
        <w:r>
          <w:rPr>
            <w:webHidden/>
          </w:rPr>
          <w:fldChar w:fldCharType="separate"/>
        </w:r>
        <w:r>
          <w:rPr>
            <w:webHidden/>
          </w:rPr>
          <w:t>49</w:t>
        </w:r>
        <w:r>
          <w:rPr>
            <w:webHidden/>
          </w:rPr>
          <w:fldChar w:fldCharType="end"/>
        </w:r>
      </w:hyperlink>
    </w:p>
    <w:p w14:paraId="2827B59E" w14:textId="62E4A997" w:rsidR="00CB0048" w:rsidRDefault="00CB0048">
      <w:pPr>
        <w:pStyle w:val="21"/>
        <w:tabs>
          <w:tab w:val="right" w:leader="dot" w:pos="9061"/>
        </w:tabs>
        <w:rPr>
          <w:rFonts w:ascii="Calibri" w:hAnsi="Calibri"/>
          <w:noProof/>
          <w:kern w:val="2"/>
        </w:rPr>
      </w:pPr>
      <w:hyperlink w:anchor="_Toc183067343" w:history="1">
        <w:r w:rsidRPr="00FA5713">
          <w:rPr>
            <w:rStyle w:val="a3"/>
            <w:noProof/>
          </w:rPr>
          <w:t>Ваш Пенсионный Брокер, 20.11.2024, Банк России установил минимальные требования к долевому страхованию жизни</w:t>
        </w:r>
        <w:r>
          <w:rPr>
            <w:noProof/>
            <w:webHidden/>
          </w:rPr>
          <w:tab/>
        </w:r>
        <w:r>
          <w:rPr>
            <w:noProof/>
            <w:webHidden/>
          </w:rPr>
          <w:fldChar w:fldCharType="begin"/>
        </w:r>
        <w:r>
          <w:rPr>
            <w:noProof/>
            <w:webHidden/>
          </w:rPr>
          <w:instrText xml:space="preserve"> PAGEREF _Toc183067343 \h </w:instrText>
        </w:r>
        <w:r>
          <w:rPr>
            <w:noProof/>
            <w:webHidden/>
          </w:rPr>
        </w:r>
        <w:r>
          <w:rPr>
            <w:noProof/>
            <w:webHidden/>
          </w:rPr>
          <w:fldChar w:fldCharType="separate"/>
        </w:r>
        <w:r>
          <w:rPr>
            <w:noProof/>
            <w:webHidden/>
          </w:rPr>
          <w:t>50</w:t>
        </w:r>
        <w:r>
          <w:rPr>
            <w:noProof/>
            <w:webHidden/>
          </w:rPr>
          <w:fldChar w:fldCharType="end"/>
        </w:r>
      </w:hyperlink>
    </w:p>
    <w:p w14:paraId="166F3FC6" w14:textId="127DDADC" w:rsidR="00CB0048" w:rsidRDefault="00CB0048">
      <w:pPr>
        <w:pStyle w:val="31"/>
        <w:rPr>
          <w:rFonts w:ascii="Calibri" w:hAnsi="Calibri"/>
          <w:kern w:val="2"/>
        </w:rPr>
      </w:pPr>
      <w:hyperlink w:anchor="_Toc183067344" w:history="1">
        <w:r w:rsidRPr="00FA5713">
          <w:rPr>
            <w:rStyle w:val="a3"/>
          </w:rPr>
          <w:t>Банк России установил порядок продажи полисов долевого страхования жизни (ДСЖ) и информирования клиентов об особенностях такого инструмента. Указание вступит в силу с 1 января 2025 года: с этого дня страховые компании вправе предлагать новый продукт. Он сочетает классическое страхование жизни и вложение средств в паевые инвестиционные фонды (ПИФ).</w:t>
        </w:r>
        <w:r>
          <w:rPr>
            <w:webHidden/>
          </w:rPr>
          <w:tab/>
        </w:r>
        <w:r>
          <w:rPr>
            <w:webHidden/>
          </w:rPr>
          <w:fldChar w:fldCharType="begin"/>
        </w:r>
        <w:r>
          <w:rPr>
            <w:webHidden/>
          </w:rPr>
          <w:instrText xml:space="preserve"> PAGEREF _Toc183067344 \h </w:instrText>
        </w:r>
        <w:r>
          <w:rPr>
            <w:webHidden/>
          </w:rPr>
        </w:r>
        <w:r>
          <w:rPr>
            <w:webHidden/>
          </w:rPr>
          <w:fldChar w:fldCharType="separate"/>
        </w:r>
        <w:r>
          <w:rPr>
            <w:webHidden/>
          </w:rPr>
          <w:t>50</w:t>
        </w:r>
        <w:r>
          <w:rPr>
            <w:webHidden/>
          </w:rPr>
          <w:fldChar w:fldCharType="end"/>
        </w:r>
      </w:hyperlink>
    </w:p>
    <w:p w14:paraId="44EE4C72" w14:textId="15BD6FE5" w:rsidR="00CB0048" w:rsidRDefault="00CB0048">
      <w:pPr>
        <w:pStyle w:val="21"/>
        <w:tabs>
          <w:tab w:val="right" w:leader="dot" w:pos="9061"/>
        </w:tabs>
        <w:rPr>
          <w:rFonts w:ascii="Calibri" w:hAnsi="Calibri"/>
          <w:noProof/>
          <w:kern w:val="2"/>
        </w:rPr>
      </w:pPr>
      <w:hyperlink w:anchor="_Toc183067345" w:history="1">
        <w:r w:rsidRPr="00FA5713">
          <w:rPr>
            <w:rStyle w:val="a3"/>
            <w:noProof/>
          </w:rPr>
          <w:t>Коммерсантъ, 21.11.2024, Виталий ГАЙДАЕВ, Госдолг снова растет в цене</w:t>
        </w:r>
        <w:r>
          <w:rPr>
            <w:noProof/>
            <w:webHidden/>
          </w:rPr>
          <w:tab/>
        </w:r>
        <w:r>
          <w:rPr>
            <w:noProof/>
            <w:webHidden/>
          </w:rPr>
          <w:fldChar w:fldCharType="begin"/>
        </w:r>
        <w:r>
          <w:rPr>
            <w:noProof/>
            <w:webHidden/>
          </w:rPr>
          <w:instrText xml:space="preserve"> PAGEREF _Toc183067345 \h </w:instrText>
        </w:r>
        <w:r>
          <w:rPr>
            <w:noProof/>
            <w:webHidden/>
          </w:rPr>
        </w:r>
        <w:r>
          <w:rPr>
            <w:noProof/>
            <w:webHidden/>
          </w:rPr>
          <w:fldChar w:fldCharType="separate"/>
        </w:r>
        <w:r>
          <w:rPr>
            <w:noProof/>
            <w:webHidden/>
          </w:rPr>
          <w:t>51</w:t>
        </w:r>
        <w:r>
          <w:rPr>
            <w:noProof/>
            <w:webHidden/>
          </w:rPr>
          <w:fldChar w:fldCharType="end"/>
        </w:r>
      </w:hyperlink>
    </w:p>
    <w:p w14:paraId="04F79021" w14:textId="752FFCF9" w:rsidR="00CB0048" w:rsidRDefault="00CB0048">
      <w:pPr>
        <w:pStyle w:val="31"/>
        <w:rPr>
          <w:rFonts w:ascii="Calibri" w:hAnsi="Calibri"/>
          <w:kern w:val="2"/>
        </w:rPr>
      </w:pPr>
      <w:hyperlink w:anchor="_Toc183067346" w:history="1">
        <w:r w:rsidRPr="00FA5713">
          <w:rPr>
            <w:rStyle w:val="a3"/>
          </w:rPr>
          <w:t>Доходность длинных выпусков ОФЗ после двухнедельного перерыва вернулась к уровням, превышающим 17% годовых. Резкий рост ставок на долговом рынке связан с высокими инфляционными ожиданиями участников рынка и ростом геополитических рисков. Эксперты не исключают подъема ключевой ставки до 23% на последнем в этом году заседании совета директоров ЦБ. При этом доходность длинных ОФЗ к этому времени может достигнуть 18% годовых, коротких бумаг — до 22,5% годовых.</w:t>
        </w:r>
        <w:r>
          <w:rPr>
            <w:webHidden/>
          </w:rPr>
          <w:tab/>
        </w:r>
        <w:r>
          <w:rPr>
            <w:webHidden/>
          </w:rPr>
          <w:fldChar w:fldCharType="begin"/>
        </w:r>
        <w:r>
          <w:rPr>
            <w:webHidden/>
          </w:rPr>
          <w:instrText xml:space="preserve"> PAGEREF _Toc183067346 \h </w:instrText>
        </w:r>
        <w:r>
          <w:rPr>
            <w:webHidden/>
          </w:rPr>
        </w:r>
        <w:r>
          <w:rPr>
            <w:webHidden/>
          </w:rPr>
          <w:fldChar w:fldCharType="separate"/>
        </w:r>
        <w:r>
          <w:rPr>
            <w:webHidden/>
          </w:rPr>
          <w:t>51</w:t>
        </w:r>
        <w:r>
          <w:rPr>
            <w:webHidden/>
          </w:rPr>
          <w:fldChar w:fldCharType="end"/>
        </w:r>
      </w:hyperlink>
    </w:p>
    <w:p w14:paraId="2860E5E1" w14:textId="0EA6C889" w:rsidR="00CB0048" w:rsidRDefault="00CB0048">
      <w:pPr>
        <w:pStyle w:val="21"/>
        <w:tabs>
          <w:tab w:val="right" w:leader="dot" w:pos="9061"/>
        </w:tabs>
        <w:rPr>
          <w:rFonts w:ascii="Calibri" w:hAnsi="Calibri"/>
          <w:noProof/>
          <w:kern w:val="2"/>
        </w:rPr>
      </w:pPr>
      <w:hyperlink w:anchor="_Toc183067347" w:history="1">
        <w:r w:rsidRPr="00FA5713">
          <w:rPr>
            <w:rStyle w:val="a3"/>
            <w:noProof/>
          </w:rPr>
          <w:t>РБК. Тренды, 20.11.2024, Высокие ставки и сервис впечатлений: как меняется розничный банкинг</w:t>
        </w:r>
        <w:r>
          <w:rPr>
            <w:noProof/>
            <w:webHidden/>
          </w:rPr>
          <w:tab/>
        </w:r>
        <w:r>
          <w:rPr>
            <w:noProof/>
            <w:webHidden/>
          </w:rPr>
          <w:fldChar w:fldCharType="begin"/>
        </w:r>
        <w:r>
          <w:rPr>
            <w:noProof/>
            <w:webHidden/>
          </w:rPr>
          <w:instrText xml:space="preserve"> PAGEREF _Toc183067347 \h </w:instrText>
        </w:r>
        <w:r>
          <w:rPr>
            <w:noProof/>
            <w:webHidden/>
          </w:rPr>
        </w:r>
        <w:r>
          <w:rPr>
            <w:noProof/>
            <w:webHidden/>
          </w:rPr>
          <w:fldChar w:fldCharType="separate"/>
        </w:r>
        <w:r>
          <w:rPr>
            <w:noProof/>
            <w:webHidden/>
          </w:rPr>
          <w:t>52</w:t>
        </w:r>
        <w:r>
          <w:rPr>
            <w:noProof/>
            <w:webHidden/>
          </w:rPr>
          <w:fldChar w:fldCharType="end"/>
        </w:r>
      </w:hyperlink>
    </w:p>
    <w:p w14:paraId="285FC2CE" w14:textId="60AD4DC7" w:rsidR="00CB0048" w:rsidRDefault="00CB0048">
      <w:pPr>
        <w:pStyle w:val="31"/>
        <w:rPr>
          <w:rFonts w:ascii="Calibri" w:hAnsi="Calibri"/>
          <w:kern w:val="2"/>
        </w:rPr>
      </w:pPr>
      <w:hyperlink w:anchor="_Toc183067348" w:history="1">
        <w:r w:rsidRPr="00FA5713">
          <w:rPr>
            <w:rStyle w:val="a3"/>
          </w:rPr>
          <w:t>Как население реагирует на подорожание кредитов, чем банки привлекают новых клиентов и почему России нужна новая платежная система с единым QR-кодом, рассказал директор розничного бизнеса Альфа-банка Иван Пятков.</w:t>
        </w:r>
        <w:r>
          <w:rPr>
            <w:webHidden/>
          </w:rPr>
          <w:tab/>
        </w:r>
        <w:r>
          <w:rPr>
            <w:webHidden/>
          </w:rPr>
          <w:fldChar w:fldCharType="begin"/>
        </w:r>
        <w:r>
          <w:rPr>
            <w:webHidden/>
          </w:rPr>
          <w:instrText xml:space="preserve"> PAGEREF _Toc183067348 \h </w:instrText>
        </w:r>
        <w:r>
          <w:rPr>
            <w:webHidden/>
          </w:rPr>
        </w:r>
        <w:r>
          <w:rPr>
            <w:webHidden/>
          </w:rPr>
          <w:fldChar w:fldCharType="separate"/>
        </w:r>
        <w:r>
          <w:rPr>
            <w:webHidden/>
          </w:rPr>
          <w:t>52</w:t>
        </w:r>
        <w:r>
          <w:rPr>
            <w:webHidden/>
          </w:rPr>
          <w:fldChar w:fldCharType="end"/>
        </w:r>
      </w:hyperlink>
    </w:p>
    <w:p w14:paraId="7CC1190C" w14:textId="773548CA" w:rsidR="00CB0048" w:rsidRDefault="00CB0048">
      <w:pPr>
        <w:pStyle w:val="12"/>
        <w:tabs>
          <w:tab w:val="right" w:leader="dot" w:pos="9061"/>
        </w:tabs>
        <w:rPr>
          <w:rFonts w:ascii="Calibri" w:hAnsi="Calibri"/>
          <w:b w:val="0"/>
          <w:noProof/>
          <w:kern w:val="2"/>
          <w:sz w:val="24"/>
        </w:rPr>
      </w:pPr>
      <w:hyperlink w:anchor="_Toc183067349" w:history="1">
        <w:r w:rsidRPr="00FA5713">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_Toc183067349 \h </w:instrText>
        </w:r>
        <w:r>
          <w:rPr>
            <w:noProof/>
            <w:webHidden/>
          </w:rPr>
        </w:r>
        <w:r>
          <w:rPr>
            <w:noProof/>
            <w:webHidden/>
          </w:rPr>
          <w:fldChar w:fldCharType="separate"/>
        </w:r>
        <w:r>
          <w:rPr>
            <w:noProof/>
            <w:webHidden/>
          </w:rPr>
          <w:t>58</w:t>
        </w:r>
        <w:r>
          <w:rPr>
            <w:noProof/>
            <w:webHidden/>
          </w:rPr>
          <w:fldChar w:fldCharType="end"/>
        </w:r>
      </w:hyperlink>
    </w:p>
    <w:p w14:paraId="16EAD4C0" w14:textId="411CC2DC" w:rsidR="00CB0048" w:rsidRDefault="00CB0048">
      <w:pPr>
        <w:pStyle w:val="12"/>
        <w:tabs>
          <w:tab w:val="right" w:leader="dot" w:pos="9061"/>
        </w:tabs>
        <w:rPr>
          <w:rFonts w:ascii="Calibri" w:hAnsi="Calibri"/>
          <w:b w:val="0"/>
          <w:noProof/>
          <w:kern w:val="2"/>
          <w:sz w:val="24"/>
        </w:rPr>
      </w:pPr>
      <w:hyperlink w:anchor="_Toc183067350" w:history="1">
        <w:r w:rsidRPr="00FA5713">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_Toc183067350 \h </w:instrText>
        </w:r>
        <w:r>
          <w:rPr>
            <w:noProof/>
            <w:webHidden/>
          </w:rPr>
        </w:r>
        <w:r>
          <w:rPr>
            <w:noProof/>
            <w:webHidden/>
          </w:rPr>
          <w:fldChar w:fldCharType="separate"/>
        </w:r>
        <w:r>
          <w:rPr>
            <w:noProof/>
            <w:webHidden/>
          </w:rPr>
          <w:t>58</w:t>
        </w:r>
        <w:r>
          <w:rPr>
            <w:noProof/>
            <w:webHidden/>
          </w:rPr>
          <w:fldChar w:fldCharType="end"/>
        </w:r>
      </w:hyperlink>
    </w:p>
    <w:p w14:paraId="49F09919" w14:textId="793AE662" w:rsidR="00CB0048" w:rsidRDefault="00CB0048">
      <w:pPr>
        <w:pStyle w:val="21"/>
        <w:tabs>
          <w:tab w:val="right" w:leader="dot" w:pos="9061"/>
        </w:tabs>
        <w:rPr>
          <w:rFonts w:ascii="Calibri" w:hAnsi="Calibri"/>
          <w:noProof/>
          <w:kern w:val="2"/>
        </w:rPr>
      </w:pPr>
      <w:hyperlink w:anchor="_Toc183067351" w:history="1">
        <w:r w:rsidRPr="00FA5713">
          <w:rPr>
            <w:rStyle w:val="a3"/>
            <w:noProof/>
          </w:rPr>
          <w:t>kazlenta.kz, 20.11.2024, В Казахстане анонсировали рост средней пенсии в 2025 году. Что нужно знать каждому пенсионеру?</w:t>
        </w:r>
        <w:r>
          <w:rPr>
            <w:noProof/>
            <w:webHidden/>
          </w:rPr>
          <w:tab/>
        </w:r>
        <w:r>
          <w:rPr>
            <w:noProof/>
            <w:webHidden/>
          </w:rPr>
          <w:fldChar w:fldCharType="begin"/>
        </w:r>
        <w:r>
          <w:rPr>
            <w:noProof/>
            <w:webHidden/>
          </w:rPr>
          <w:instrText xml:space="preserve"> PAGEREF _Toc183067351 \h </w:instrText>
        </w:r>
        <w:r>
          <w:rPr>
            <w:noProof/>
            <w:webHidden/>
          </w:rPr>
        </w:r>
        <w:r>
          <w:rPr>
            <w:noProof/>
            <w:webHidden/>
          </w:rPr>
          <w:fldChar w:fldCharType="separate"/>
        </w:r>
        <w:r>
          <w:rPr>
            <w:noProof/>
            <w:webHidden/>
          </w:rPr>
          <w:t>58</w:t>
        </w:r>
        <w:r>
          <w:rPr>
            <w:noProof/>
            <w:webHidden/>
          </w:rPr>
          <w:fldChar w:fldCharType="end"/>
        </w:r>
      </w:hyperlink>
    </w:p>
    <w:p w14:paraId="2E2E3BA2" w14:textId="0D074C56" w:rsidR="00CB0048" w:rsidRDefault="00CB0048">
      <w:pPr>
        <w:pStyle w:val="31"/>
        <w:rPr>
          <w:rFonts w:ascii="Calibri" w:hAnsi="Calibri"/>
          <w:kern w:val="2"/>
        </w:rPr>
      </w:pPr>
      <w:hyperlink w:anchor="_Toc183067352" w:history="1">
        <w:r w:rsidRPr="00FA5713">
          <w:rPr>
            <w:rStyle w:val="a3"/>
          </w:rPr>
          <w:t>С 1 января 2025 года в соответствии с Законом Республики Казахстан «О республиканском бюджете на 2025-2027 годы» и постановлением правительства о повышении пенсионных выплат будет произведен перерасчет пенсий и социальных пособий. Ожидается, что в 2025 году средний размер пенсии составит 96 562 тенге, сообщает kazlenta.kz.</w:t>
        </w:r>
        <w:r>
          <w:rPr>
            <w:webHidden/>
          </w:rPr>
          <w:tab/>
        </w:r>
        <w:r>
          <w:rPr>
            <w:webHidden/>
          </w:rPr>
          <w:fldChar w:fldCharType="begin"/>
        </w:r>
        <w:r>
          <w:rPr>
            <w:webHidden/>
          </w:rPr>
          <w:instrText xml:space="preserve"> PAGEREF _Toc183067352 \h </w:instrText>
        </w:r>
        <w:r>
          <w:rPr>
            <w:webHidden/>
          </w:rPr>
        </w:r>
        <w:r>
          <w:rPr>
            <w:webHidden/>
          </w:rPr>
          <w:fldChar w:fldCharType="separate"/>
        </w:r>
        <w:r>
          <w:rPr>
            <w:webHidden/>
          </w:rPr>
          <w:t>58</w:t>
        </w:r>
        <w:r>
          <w:rPr>
            <w:webHidden/>
          </w:rPr>
          <w:fldChar w:fldCharType="end"/>
        </w:r>
      </w:hyperlink>
    </w:p>
    <w:p w14:paraId="3EB290BD" w14:textId="6223E13F" w:rsidR="00CB0048" w:rsidRDefault="00CB0048">
      <w:pPr>
        <w:pStyle w:val="21"/>
        <w:tabs>
          <w:tab w:val="right" w:leader="dot" w:pos="9061"/>
        </w:tabs>
        <w:rPr>
          <w:rFonts w:ascii="Calibri" w:hAnsi="Calibri"/>
          <w:noProof/>
          <w:kern w:val="2"/>
        </w:rPr>
      </w:pPr>
      <w:hyperlink w:anchor="_Toc183067353" w:history="1">
        <w:r w:rsidRPr="00FA5713">
          <w:rPr>
            <w:rStyle w:val="a3"/>
            <w:noProof/>
          </w:rPr>
          <w:t>24KZ, 20.11.2024, Почти ₸60 млрд пенсионных активов находятся под управлением частных компаний - Новости Казахстана и мира на сегодня</w:t>
        </w:r>
        <w:r>
          <w:rPr>
            <w:noProof/>
            <w:webHidden/>
          </w:rPr>
          <w:tab/>
        </w:r>
        <w:r>
          <w:rPr>
            <w:noProof/>
            <w:webHidden/>
          </w:rPr>
          <w:fldChar w:fldCharType="begin"/>
        </w:r>
        <w:r>
          <w:rPr>
            <w:noProof/>
            <w:webHidden/>
          </w:rPr>
          <w:instrText xml:space="preserve"> PAGEREF _Toc183067353 \h </w:instrText>
        </w:r>
        <w:r>
          <w:rPr>
            <w:noProof/>
            <w:webHidden/>
          </w:rPr>
        </w:r>
        <w:r>
          <w:rPr>
            <w:noProof/>
            <w:webHidden/>
          </w:rPr>
          <w:fldChar w:fldCharType="separate"/>
        </w:r>
        <w:r>
          <w:rPr>
            <w:noProof/>
            <w:webHidden/>
          </w:rPr>
          <w:t>59</w:t>
        </w:r>
        <w:r>
          <w:rPr>
            <w:noProof/>
            <w:webHidden/>
          </w:rPr>
          <w:fldChar w:fldCharType="end"/>
        </w:r>
      </w:hyperlink>
    </w:p>
    <w:p w14:paraId="63678929" w14:textId="51AFEC66" w:rsidR="00CB0048" w:rsidRDefault="00CB0048">
      <w:pPr>
        <w:pStyle w:val="31"/>
        <w:rPr>
          <w:rFonts w:ascii="Calibri" w:hAnsi="Calibri"/>
          <w:kern w:val="2"/>
        </w:rPr>
      </w:pPr>
      <w:hyperlink w:anchor="_Toc183067354" w:history="1">
        <w:r w:rsidRPr="00FA5713">
          <w:rPr>
            <w:rStyle w:val="a3"/>
          </w:rPr>
          <w:t>Почти в 2,5 раза с начала года увеличились пенсионные накопления казахстанцев под управлением частных брокеров. Общая сумма достигла около 60 миллиардов тенге, сообщает Ranking.kz. Насколько выгодно вкладывать свои накопления в частные компании, и с какими рисками можно столкнуться, выясняла корреспондент «24KZ».</w:t>
        </w:r>
        <w:r>
          <w:rPr>
            <w:webHidden/>
          </w:rPr>
          <w:tab/>
        </w:r>
        <w:r>
          <w:rPr>
            <w:webHidden/>
          </w:rPr>
          <w:fldChar w:fldCharType="begin"/>
        </w:r>
        <w:r>
          <w:rPr>
            <w:webHidden/>
          </w:rPr>
          <w:instrText xml:space="preserve"> PAGEREF _Toc183067354 \h </w:instrText>
        </w:r>
        <w:r>
          <w:rPr>
            <w:webHidden/>
          </w:rPr>
        </w:r>
        <w:r>
          <w:rPr>
            <w:webHidden/>
          </w:rPr>
          <w:fldChar w:fldCharType="separate"/>
        </w:r>
        <w:r>
          <w:rPr>
            <w:webHidden/>
          </w:rPr>
          <w:t>59</w:t>
        </w:r>
        <w:r>
          <w:rPr>
            <w:webHidden/>
          </w:rPr>
          <w:fldChar w:fldCharType="end"/>
        </w:r>
      </w:hyperlink>
    </w:p>
    <w:p w14:paraId="1605D652" w14:textId="105D7110" w:rsidR="00CB0048" w:rsidRDefault="00CB0048">
      <w:pPr>
        <w:pStyle w:val="12"/>
        <w:tabs>
          <w:tab w:val="right" w:leader="dot" w:pos="9061"/>
        </w:tabs>
        <w:rPr>
          <w:rFonts w:ascii="Calibri" w:hAnsi="Calibri"/>
          <w:b w:val="0"/>
          <w:noProof/>
          <w:kern w:val="2"/>
          <w:sz w:val="24"/>
        </w:rPr>
      </w:pPr>
      <w:hyperlink w:anchor="_Toc183067355" w:history="1">
        <w:r w:rsidRPr="00FA5713">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_Toc183067355 \h </w:instrText>
        </w:r>
        <w:r>
          <w:rPr>
            <w:noProof/>
            <w:webHidden/>
          </w:rPr>
        </w:r>
        <w:r>
          <w:rPr>
            <w:noProof/>
            <w:webHidden/>
          </w:rPr>
          <w:fldChar w:fldCharType="separate"/>
        </w:r>
        <w:r>
          <w:rPr>
            <w:noProof/>
            <w:webHidden/>
          </w:rPr>
          <w:t>60</w:t>
        </w:r>
        <w:r>
          <w:rPr>
            <w:noProof/>
            <w:webHidden/>
          </w:rPr>
          <w:fldChar w:fldCharType="end"/>
        </w:r>
      </w:hyperlink>
    </w:p>
    <w:p w14:paraId="78FBB4E5" w14:textId="3275A8E3" w:rsidR="00CB0048" w:rsidRDefault="00CB0048">
      <w:pPr>
        <w:pStyle w:val="21"/>
        <w:tabs>
          <w:tab w:val="right" w:leader="dot" w:pos="9061"/>
        </w:tabs>
        <w:rPr>
          <w:rFonts w:ascii="Calibri" w:hAnsi="Calibri"/>
          <w:noProof/>
          <w:kern w:val="2"/>
        </w:rPr>
      </w:pPr>
      <w:hyperlink w:anchor="_Toc183067356" w:history="1">
        <w:r w:rsidRPr="00FA5713">
          <w:rPr>
            <w:rStyle w:val="a3"/>
            <w:noProof/>
          </w:rPr>
          <w:t>stimul.online, 20.11.2024, Расти стартап на пенсию</w:t>
        </w:r>
        <w:r>
          <w:rPr>
            <w:noProof/>
            <w:webHidden/>
          </w:rPr>
          <w:tab/>
        </w:r>
        <w:r>
          <w:rPr>
            <w:noProof/>
            <w:webHidden/>
          </w:rPr>
          <w:fldChar w:fldCharType="begin"/>
        </w:r>
        <w:r>
          <w:rPr>
            <w:noProof/>
            <w:webHidden/>
          </w:rPr>
          <w:instrText xml:space="preserve"> PAGEREF _Toc183067356 \h </w:instrText>
        </w:r>
        <w:r>
          <w:rPr>
            <w:noProof/>
            <w:webHidden/>
          </w:rPr>
        </w:r>
        <w:r>
          <w:rPr>
            <w:noProof/>
            <w:webHidden/>
          </w:rPr>
          <w:fldChar w:fldCharType="separate"/>
        </w:r>
        <w:r>
          <w:rPr>
            <w:noProof/>
            <w:webHidden/>
          </w:rPr>
          <w:t>60</w:t>
        </w:r>
        <w:r>
          <w:rPr>
            <w:noProof/>
            <w:webHidden/>
          </w:rPr>
          <w:fldChar w:fldCharType="end"/>
        </w:r>
      </w:hyperlink>
    </w:p>
    <w:p w14:paraId="6B579C5E" w14:textId="38B8D20A" w:rsidR="00CB0048" w:rsidRDefault="00CB0048">
      <w:pPr>
        <w:pStyle w:val="31"/>
        <w:rPr>
          <w:rFonts w:ascii="Calibri" w:hAnsi="Calibri"/>
          <w:kern w:val="2"/>
        </w:rPr>
      </w:pPr>
      <w:hyperlink w:anchor="_Toc183067357" w:history="1">
        <w:r w:rsidRPr="00FA5713">
          <w:rPr>
            <w:rStyle w:val="a3"/>
          </w:rPr>
          <w:t>Лейбористское правительство Великобритании разработало масштабный план консолидации разрозненных схем пенсионных фондов. Цель — значительно увеличить инвестиции в развитие новых компаний-стартапов и дополнительно подпитывать фонды венчурных инвестиций.</w:t>
        </w:r>
        <w:r>
          <w:rPr>
            <w:webHidden/>
          </w:rPr>
          <w:tab/>
        </w:r>
        <w:r>
          <w:rPr>
            <w:webHidden/>
          </w:rPr>
          <w:fldChar w:fldCharType="begin"/>
        </w:r>
        <w:r>
          <w:rPr>
            <w:webHidden/>
          </w:rPr>
          <w:instrText xml:space="preserve"> PAGEREF _Toc183067357 \h </w:instrText>
        </w:r>
        <w:r>
          <w:rPr>
            <w:webHidden/>
          </w:rPr>
        </w:r>
        <w:r>
          <w:rPr>
            <w:webHidden/>
          </w:rPr>
          <w:fldChar w:fldCharType="separate"/>
        </w:r>
        <w:r>
          <w:rPr>
            <w:webHidden/>
          </w:rPr>
          <w:t>60</w:t>
        </w:r>
        <w:r>
          <w:rPr>
            <w:webHidden/>
          </w:rPr>
          <w:fldChar w:fldCharType="end"/>
        </w:r>
      </w:hyperlink>
    </w:p>
    <w:p w14:paraId="1B16A0A3" w14:textId="07996A71" w:rsidR="00CB0048" w:rsidRDefault="00CB0048">
      <w:pPr>
        <w:pStyle w:val="21"/>
        <w:tabs>
          <w:tab w:val="right" w:leader="dot" w:pos="9061"/>
        </w:tabs>
        <w:rPr>
          <w:rFonts w:ascii="Calibri" w:hAnsi="Calibri"/>
          <w:noProof/>
          <w:kern w:val="2"/>
        </w:rPr>
      </w:pPr>
      <w:hyperlink w:anchor="_Toc183067358" w:history="1">
        <w:r w:rsidRPr="00FA5713">
          <w:rPr>
            <w:rStyle w:val="a3"/>
            <w:noProof/>
          </w:rPr>
          <w:t>РИА Новости, 20.11.2024, Предложение левых об отмене пенсионной реформы в Нацсобрании Франции рассмотрят 28 ноября</w:t>
        </w:r>
        <w:r>
          <w:rPr>
            <w:noProof/>
            <w:webHidden/>
          </w:rPr>
          <w:tab/>
        </w:r>
        <w:r>
          <w:rPr>
            <w:noProof/>
            <w:webHidden/>
          </w:rPr>
          <w:fldChar w:fldCharType="begin"/>
        </w:r>
        <w:r>
          <w:rPr>
            <w:noProof/>
            <w:webHidden/>
          </w:rPr>
          <w:instrText xml:space="preserve"> PAGEREF _Toc183067358 \h </w:instrText>
        </w:r>
        <w:r>
          <w:rPr>
            <w:noProof/>
            <w:webHidden/>
          </w:rPr>
        </w:r>
        <w:r>
          <w:rPr>
            <w:noProof/>
            <w:webHidden/>
          </w:rPr>
          <w:fldChar w:fldCharType="separate"/>
        </w:r>
        <w:r>
          <w:rPr>
            <w:noProof/>
            <w:webHidden/>
          </w:rPr>
          <w:t>63</w:t>
        </w:r>
        <w:r>
          <w:rPr>
            <w:noProof/>
            <w:webHidden/>
          </w:rPr>
          <w:fldChar w:fldCharType="end"/>
        </w:r>
      </w:hyperlink>
    </w:p>
    <w:p w14:paraId="4E1D42A3" w14:textId="534C79A3" w:rsidR="00CB0048" w:rsidRDefault="00CB0048">
      <w:pPr>
        <w:pStyle w:val="31"/>
        <w:rPr>
          <w:rFonts w:ascii="Calibri" w:hAnsi="Calibri"/>
          <w:kern w:val="2"/>
        </w:rPr>
      </w:pPr>
      <w:hyperlink w:anchor="_Toc183067359" w:history="1">
        <w:r w:rsidRPr="00FA5713">
          <w:rPr>
            <w:rStyle w:val="a3"/>
          </w:rPr>
          <w:t>Предложение об отмене резонансной пенсионной реформы во Франции, внесённое в парламент левой партией «Непокорившаяся Франция» (LFI), будет рассмотрено 28 ноября, сообщает издание Figaro.</w:t>
        </w:r>
        <w:r>
          <w:rPr>
            <w:webHidden/>
          </w:rPr>
          <w:tab/>
        </w:r>
        <w:r>
          <w:rPr>
            <w:webHidden/>
          </w:rPr>
          <w:fldChar w:fldCharType="begin"/>
        </w:r>
        <w:r>
          <w:rPr>
            <w:webHidden/>
          </w:rPr>
          <w:instrText xml:space="preserve"> PAGEREF _Toc183067359 \h </w:instrText>
        </w:r>
        <w:r>
          <w:rPr>
            <w:webHidden/>
          </w:rPr>
        </w:r>
        <w:r>
          <w:rPr>
            <w:webHidden/>
          </w:rPr>
          <w:fldChar w:fldCharType="separate"/>
        </w:r>
        <w:r>
          <w:rPr>
            <w:webHidden/>
          </w:rPr>
          <w:t>63</w:t>
        </w:r>
        <w:r>
          <w:rPr>
            <w:webHidden/>
          </w:rPr>
          <w:fldChar w:fldCharType="end"/>
        </w:r>
      </w:hyperlink>
    </w:p>
    <w:p w14:paraId="75566C06" w14:textId="5392549C" w:rsidR="00A0290C" w:rsidRPr="00D40509" w:rsidRDefault="0016397E" w:rsidP="00310633">
      <w:pPr>
        <w:rPr>
          <w:b/>
          <w:caps/>
          <w:sz w:val="32"/>
        </w:rPr>
      </w:pPr>
      <w:r w:rsidRPr="00D40509">
        <w:rPr>
          <w:caps/>
          <w:sz w:val="28"/>
        </w:rPr>
        <w:fldChar w:fldCharType="end"/>
      </w:r>
    </w:p>
    <w:p w14:paraId="0F7B0A09" w14:textId="77777777" w:rsidR="00D1642B" w:rsidRPr="00D40509" w:rsidRDefault="00D1642B" w:rsidP="00D1642B">
      <w:pPr>
        <w:pStyle w:val="251"/>
      </w:pPr>
      <w:bookmarkStart w:id="16" w:name="_Toc396864664"/>
      <w:bookmarkStart w:id="17" w:name="_Toc99318652"/>
      <w:bookmarkStart w:id="18" w:name="_Toc246216291"/>
      <w:bookmarkStart w:id="19" w:name="_Toc246297418"/>
      <w:bookmarkStart w:id="20" w:name="_Toc183067274"/>
      <w:bookmarkEnd w:id="8"/>
      <w:bookmarkEnd w:id="9"/>
      <w:bookmarkEnd w:id="10"/>
      <w:bookmarkEnd w:id="11"/>
      <w:bookmarkEnd w:id="12"/>
      <w:bookmarkEnd w:id="13"/>
      <w:bookmarkEnd w:id="14"/>
      <w:bookmarkEnd w:id="15"/>
      <w:r w:rsidRPr="00D40509">
        <w:lastRenderedPageBreak/>
        <w:t>НОВОСТИ ПЕНСИОННОЙ ОТРАСЛИ</w:t>
      </w:r>
      <w:bookmarkEnd w:id="16"/>
      <w:bookmarkEnd w:id="17"/>
      <w:bookmarkEnd w:id="20"/>
    </w:p>
    <w:p w14:paraId="7E3CA573" w14:textId="77777777" w:rsidR="00111D7C" w:rsidRPr="00D40509"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3067275"/>
      <w:bookmarkEnd w:id="18"/>
      <w:bookmarkEnd w:id="19"/>
      <w:r w:rsidRPr="00D40509">
        <w:t>Новости отрасли НПФ</w:t>
      </w:r>
      <w:bookmarkEnd w:id="21"/>
      <w:bookmarkEnd w:id="22"/>
      <w:bookmarkEnd w:id="23"/>
      <w:bookmarkEnd w:id="27"/>
    </w:p>
    <w:p w14:paraId="77A43718" w14:textId="77777777" w:rsidR="00D20D92" w:rsidRPr="00D40509" w:rsidRDefault="00D20D92" w:rsidP="00D20D92">
      <w:pPr>
        <w:pStyle w:val="2"/>
      </w:pPr>
      <w:bookmarkStart w:id="28" w:name="a1"/>
      <w:bookmarkStart w:id="29" w:name="_Hlk183066215"/>
      <w:bookmarkStart w:id="30" w:name="_Toc183067276"/>
      <w:bookmarkEnd w:id="28"/>
      <w:r w:rsidRPr="00D40509">
        <w:t>РИА Новости, 20.11.2024, Пенсионный налоговый вычет</w:t>
      </w:r>
      <w:bookmarkEnd w:id="30"/>
    </w:p>
    <w:p w14:paraId="71E2798B" w14:textId="77777777" w:rsidR="00D20D92" w:rsidRPr="00D40509" w:rsidRDefault="00D20D92" w:rsidP="00EA17F3">
      <w:pPr>
        <w:pStyle w:val="3"/>
      </w:pPr>
      <w:bookmarkStart w:id="31" w:name="_Toc183067277"/>
      <w:r w:rsidRPr="00D40509">
        <w:t>Пенсионный налоговый вычет доступен тем, кто решил делать накопления на пенсию с помощью негосударственного пенсионного фонда или страховых взносов на добровольное пенсионное страхование. Кто может претендовать на этот социальный вычет и как его получить, какой размер уплаченных взносов на накопительную часть пенсии можно вернуть, какие документы потребуются и почему могут отказать, – в материале РИА Новости.</w:t>
      </w:r>
      <w:bookmarkEnd w:id="31"/>
    </w:p>
    <w:p w14:paraId="185DC402" w14:textId="77777777" w:rsidR="00D20D92" w:rsidRPr="00D40509" w:rsidRDefault="00D20D92" w:rsidP="00D20D92">
      <w:r w:rsidRPr="00D40509">
        <w:t xml:space="preserve">Социальный налоговый вычет в пенсионном обеспечении - льгота, предоставляемая государством плательщикам налога, которые формируют пенсию в негосударственных пенсионных фондах. </w:t>
      </w:r>
      <w:r w:rsidR="00D40509">
        <w:t>«</w:t>
      </w:r>
      <w:r w:rsidRPr="00D40509">
        <w:t>Пенсионным называют один из социальных налоговых вычетов с сумм, уплаченных налогоплательщиком пенсионных взносов по заключенным договорам с негосударственными пенсионными фондами (НПФ), - поясняет Анастасия Хрусталёва, старший вице-президент ИК Fontvielle. - Вычет предоставляется также по договорам добровольного пенсионного страхования - в данном случае по договору со страховой организацией. С 1 января 2025 года вычет также будет оформляться и по договору долгосрочных сбережений, называется он вычетом на долгосрочные сбережения</w:t>
      </w:r>
      <w:r w:rsidR="00D40509">
        <w:t>»</w:t>
      </w:r>
      <w:r w:rsidRPr="00D40509">
        <w:t>.</w:t>
      </w:r>
    </w:p>
    <w:p w14:paraId="6035339A" w14:textId="77777777" w:rsidR="00D20D92" w:rsidRPr="00D40509" w:rsidRDefault="00D20D92" w:rsidP="00D20D92">
      <w:r w:rsidRPr="00D40509">
        <w:t>Кому положен</w:t>
      </w:r>
    </w:p>
    <w:p w14:paraId="74098198" w14:textId="77777777" w:rsidR="00D20D92" w:rsidRPr="00D40509" w:rsidRDefault="00D20D92" w:rsidP="00D20D92">
      <w:r w:rsidRPr="00D40509">
        <w:t xml:space="preserve">Пенсионный налоговый вычет положен тем, кто осуществляет взносы на накопительную часть пенсии в размере, не превышающем 150 000 рублей в год (до 01.01.2024 - 120 000 рублей). Руководитель юридического отдела Независимого Профсоюза </w:t>
      </w:r>
      <w:r w:rsidR="00D40509">
        <w:t>«</w:t>
      </w:r>
      <w:r w:rsidRPr="00D40509">
        <w:t>Новый Труд</w:t>
      </w:r>
      <w:r w:rsidR="00D40509">
        <w:t>»</w:t>
      </w:r>
      <w:r w:rsidRPr="00D40509">
        <w:t xml:space="preserve"> (НПНТ) Сергей Довгаль уточняет, что это касается и лиц, заключивших договор с негосударственным пенсионным фондом (НПФ) или страховой компанией.</w:t>
      </w:r>
    </w:p>
    <w:p w14:paraId="2BBD9E94" w14:textId="77777777" w:rsidR="00D20D92" w:rsidRPr="00D40509" w:rsidRDefault="00D20D92" w:rsidP="00D20D92">
      <w:r w:rsidRPr="00D40509">
        <w:t>Размеры вычетов</w:t>
      </w:r>
    </w:p>
    <w:p w14:paraId="24795F12" w14:textId="77777777" w:rsidR="00D20D92" w:rsidRPr="00D40509" w:rsidRDefault="00D20D92" w:rsidP="00D20D92">
      <w:r w:rsidRPr="00D40509">
        <w:t>Размер вычета - сумма произведенных расходов, которую надо подтвердить документально (например, квитанциями или банковскими документами о безналичном перечислении взносов, выпиской с пенсионного счета налогоплательщика с указанием сумм перечислений и др.).</w:t>
      </w:r>
    </w:p>
    <w:p w14:paraId="5F40FE11" w14:textId="77777777" w:rsidR="00D20D92" w:rsidRPr="00D40509" w:rsidRDefault="00D20D92" w:rsidP="00D20D92">
      <w:r w:rsidRPr="00D40509">
        <w:t>Как рассчитать</w:t>
      </w:r>
    </w:p>
    <w:p w14:paraId="5B5FCBC8" w14:textId="77777777" w:rsidR="00D20D92" w:rsidRPr="00D40509" w:rsidRDefault="00D20D92" w:rsidP="00D20D92">
      <w:r w:rsidRPr="00D40509">
        <w:t>Анастасия Хрусталёва уточняет, что установлена предельная сумма вычета на сегодняшний день она ограничена 150 000 рублей в год. Эта сумма означает максимальную налоговую базу для исчисления 13% НДФЛ.</w:t>
      </w:r>
    </w:p>
    <w:p w14:paraId="0519B04B" w14:textId="77777777" w:rsidR="00D20D92" w:rsidRPr="00D40509" w:rsidRDefault="00D20D92" w:rsidP="00D20D92">
      <w:r w:rsidRPr="00D40509">
        <w:lastRenderedPageBreak/>
        <w:t>Таким образом, сумма налога может быть максимально уменьшена на 19500 рублей (150000 х 13%) по ставке 13%. Если исчислять НДФЛ по повышенной ставке, то максимально налог уменьшится на 22500 рублей.</w:t>
      </w:r>
    </w:p>
    <w:p w14:paraId="458CF1A8" w14:textId="77777777" w:rsidR="00D20D92" w:rsidRPr="00D40509" w:rsidRDefault="00D20D92" w:rsidP="00D20D92">
      <w:r w:rsidRPr="00D40509">
        <w:t>Условия получения налогового вычета на пенсионные взносы</w:t>
      </w:r>
    </w:p>
    <w:p w14:paraId="4B1F8DA7" w14:textId="77777777" w:rsidR="00D20D92" w:rsidRPr="00D40509" w:rsidRDefault="00D20D92" w:rsidP="00D20D92">
      <w:r w:rsidRPr="00D40509">
        <w:t>Чтобы получить налоговый вычет на пенсионные взносы, требуется:</w:t>
      </w:r>
    </w:p>
    <w:p w14:paraId="148A0E6C" w14:textId="77777777" w:rsidR="00D20D92" w:rsidRPr="00D40509" w:rsidRDefault="00D20D92" w:rsidP="00D20D92">
      <w:r w:rsidRPr="00D40509">
        <w:t>•</w:t>
      </w:r>
      <w:r w:rsidRPr="00D40509">
        <w:tab/>
        <w:t>быть налоговым резидентом Российской Федерации;</w:t>
      </w:r>
    </w:p>
    <w:p w14:paraId="0F57F50B" w14:textId="77777777" w:rsidR="00D20D92" w:rsidRPr="00D40509" w:rsidRDefault="00D20D92" w:rsidP="00D20D92">
      <w:r w:rsidRPr="00D40509">
        <w:t>•</w:t>
      </w:r>
      <w:r w:rsidRPr="00D40509">
        <w:tab/>
        <w:t xml:space="preserve">иметь доказательства уплаты взносов на пенсионные накопления; </w:t>
      </w:r>
    </w:p>
    <w:p w14:paraId="3C605620" w14:textId="77777777" w:rsidR="00D20D92" w:rsidRPr="00D40509" w:rsidRDefault="00D20D92" w:rsidP="00D20D92">
      <w:r w:rsidRPr="00D40509">
        <w:t>К договорам негосударственного пенсионного обеспечения предъявляется ряд требований, при соблюдении которых может быть предоставлен вычет, например, договор должен быть заключен в письменной форме (допускается и электронный вариант договора, где проставлены электронные подписи по всем требованиям закона о применении такого аналога собственноручной подписи).</w:t>
      </w:r>
    </w:p>
    <w:p w14:paraId="56D4ED21" w14:textId="77777777" w:rsidR="00D20D92" w:rsidRPr="00D40509" w:rsidRDefault="00D20D92" w:rsidP="00D20D92">
      <w:r w:rsidRPr="00D40509">
        <w:t>Пожилой мужчина делает подсчеты на калькуляторе</w:t>
      </w:r>
    </w:p>
    <w:p w14:paraId="4199ED38" w14:textId="77777777" w:rsidR="00D20D92" w:rsidRPr="00D40509" w:rsidRDefault="00D20D92" w:rsidP="00D20D92">
      <w:r w:rsidRPr="00D40509">
        <w:t>Пожилой мужчина делает подсчеты на калькуляторе</w:t>
      </w:r>
    </w:p>
    <w:p w14:paraId="492E5C34" w14:textId="77777777" w:rsidR="00D20D92" w:rsidRPr="00D40509" w:rsidRDefault="00D40509" w:rsidP="00D20D92">
      <w:r>
        <w:t>«</w:t>
      </w:r>
      <w:r w:rsidR="00D20D92" w:rsidRPr="00D40509">
        <w:t>Важный нюанс - если налогоплательщик вступает добровольно в правоотношения обязательного пенсионного страхования, то налоговые вычеты этого типа ему не предоставляются, об этом говорится в письме Минфина России от 30.07.2018 № 03-04-05/53501</w:t>
      </w:r>
      <w:r>
        <w:t>»</w:t>
      </w:r>
      <w:r w:rsidR="00D20D92" w:rsidRPr="00D40509">
        <w:t>, - говорит Анастасия Хрусталёва.</w:t>
      </w:r>
    </w:p>
    <w:p w14:paraId="12940F16" w14:textId="77777777" w:rsidR="00D20D92" w:rsidRPr="00D40509" w:rsidRDefault="00D20D92" w:rsidP="00D20D92">
      <w:r w:rsidRPr="00D40509">
        <w:t>Как получить налоговый вычет на пенсионные взносы</w:t>
      </w:r>
    </w:p>
    <w:p w14:paraId="55136A73" w14:textId="77777777" w:rsidR="00D20D92" w:rsidRPr="00D40509" w:rsidRDefault="00D20D92" w:rsidP="00D20D92">
      <w:r w:rsidRPr="00D40509">
        <w:t>Оформляется вычет в месяце, когда взносы налогоплательщика поступили получателю. Для этого нужно предоставить в налоговую инспекцию справку, подтверждающую фактически понесенные расходы.</w:t>
      </w:r>
    </w:p>
    <w:p w14:paraId="64E7A51A" w14:textId="77777777" w:rsidR="00D20D92" w:rsidRPr="00D40509" w:rsidRDefault="00D20D92" w:rsidP="00D20D92">
      <w:r w:rsidRPr="00D40509">
        <w:t>Куда обращаться</w:t>
      </w:r>
    </w:p>
    <w:p w14:paraId="25B5C2CB" w14:textId="77777777" w:rsidR="00D20D92" w:rsidRPr="00D40509" w:rsidRDefault="00D20D92" w:rsidP="00D20D92">
      <w:r w:rsidRPr="00D40509">
        <w:t>Чтобы получить пенсионный налоговый вычет нужно обратиться в налоговый орган по месту жительства (ФНС) с пакетом подтверждающих право документов.</w:t>
      </w:r>
    </w:p>
    <w:p w14:paraId="48FEB23F" w14:textId="77777777" w:rsidR="00D20D92" w:rsidRPr="00D40509" w:rsidRDefault="00D20D92" w:rsidP="00D20D92">
      <w:r w:rsidRPr="00D40509">
        <w:t>Требуется предоставить следующие документы:</w:t>
      </w:r>
    </w:p>
    <w:p w14:paraId="6E09062E" w14:textId="77777777" w:rsidR="00D20D92" w:rsidRPr="00D40509" w:rsidRDefault="00D20D92" w:rsidP="00D20D92">
      <w:r w:rsidRPr="00D40509">
        <w:t>•</w:t>
      </w:r>
      <w:r w:rsidRPr="00D40509">
        <w:tab/>
        <w:t>паспорт гражданина РФ;</w:t>
      </w:r>
    </w:p>
    <w:p w14:paraId="6B3F171B" w14:textId="77777777" w:rsidR="00D20D92" w:rsidRPr="00D40509" w:rsidRDefault="00D20D92" w:rsidP="00D20D92">
      <w:r w:rsidRPr="00D40509">
        <w:t>•</w:t>
      </w:r>
      <w:r w:rsidRPr="00D40509">
        <w:tab/>
        <w:t>заявление о получении налогового вычета (можно заполнить на месте);</w:t>
      </w:r>
    </w:p>
    <w:p w14:paraId="6E666583" w14:textId="77777777" w:rsidR="00D20D92" w:rsidRPr="00D40509" w:rsidRDefault="00D20D92" w:rsidP="00D20D92">
      <w:r w:rsidRPr="00D40509">
        <w:t>•</w:t>
      </w:r>
      <w:r w:rsidRPr="00D40509">
        <w:tab/>
        <w:t>налоговую декларацию 3-НДФЛ за соответствующий налоговый период;</w:t>
      </w:r>
    </w:p>
    <w:p w14:paraId="6951326C" w14:textId="77777777" w:rsidR="00D20D92" w:rsidRPr="00D40509" w:rsidRDefault="00D20D92" w:rsidP="00D20D92">
      <w:r w:rsidRPr="00D40509">
        <w:t>•</w:t>
      </w:r>
      <w:r w:rsidRPr="00D40509">
        <w:tab/>
        <w:t>справку из бухгалтерии (по форме 2-НДФЛ);</w:t>
      </w:r>
    </w:p>
    <w:p w14:paraId="6B083F5C" w14:textId="77777777" w:rsidR="00D20D92" w:rsidRPr="00D40509" w:rsidRDefault="00D20D92" w:rsidP="00D20D92">
      <w:r w:rsidRPr="00D40509">
        <w:t>•</w:t>
      </w:r>
      <w:r w:rsidRPr="00D40509">
        <w:tab/>
        <w:t>копию договора с негосударственным пенсионным фондом и его лицензии;</w:t>
      </w:r>
    </w:p>
    <w:p w14:paraId="36739C5E" w14:textId="77777777" w:rsidR="00D20D92" w:rsidRPr="00D40509" w:rsidRDefault="00D20D92" w:rsidP="00D20D92">
      <w:r w:rsidRPr="00D40509">
        <w:t>•</w:t>
      </w:r>
      <w:r w:rsidRPr="00D40509">
        <w:tab/>
        <w:t>документы, подтверждающие уплату пенсионных взносов (например, справку из НПФ).</w:t>
      </w:r>
    </w:p>
    <w:p w14:paraId="0C428404" w14:textId="77777777" w:rsidR="00D20D92" w:rsidRPr="00D40509" w:rsidRDefault="00D20D92" w:rsidP="00D20D92">
      <w:r w:rsidRPr="00D40509">
        <w:t>Денис Гришин, юрист Европейской юридической службы, уточняет, что указанный пакет документов необходим для получения вычета за 2023 или 2022 годы, а начиная с 01.01.2024 года, требуется приложить только справку об уплате соответствующих взносов для представления в налоговый орган, выданную по установленной форме.</w:t>
      </w:r>
    </w:p>
    <w:p w14:paraId="6ECF33F7" w14:textId="77777777" w:rsidR="00D20D92" w:rsidRPr="00D40509" w:rsidRDefault="00D20D92" w:rsidP="00D20D92">
      <w:r w:rsidRPr="00D40509">
        <w:lastRenderedPageBreak/>
        <w:t xml:space="preserve">Справка выдается негосударственным пенсионным фондом по определенной форме. Порядок выдачи и ее форма утверждены Приказами ФНС. </w:t>
      </w:r>
      <w:r w:rsidR="00D40509">
        <w:t>«</w:t>
      </w:r>
      <w:r w:rsidRPr="00D40509">
        <w:t>Обратите внимание, что организация, которая выдает справку, должна иметь лицензию на соответствующий вид деятельности. Справка может быть передана и напрямую в ФНС от НПФ. Если она поступает от НПФ непосредственно в налоговую, то вычет может быть оформлен в упрощенном порядке</w:t>
      </w:r>
      <w:r w:rsidR="00D40509">
        <w:t>»</w:t>
      </w:r>
      <w:r w:rsidRPr="00D40509">
        <w:t>, - отмечает Анастасия Хрусталёва.</w:t>
      </w:r>
    </w:p>
    <w:p w14:paraId="1E097282" w14:textId="77777777" w:rsidR="00D20D92" w:rsidRPr="00D40509" w:rsidRDefault="00D20D92" w:rsidP="00D20D92">
      <w:r w:rsidRPr="00D40509">
        <w:t>Порядок подачи заявления</w:t>
      </w:r>
    </w:p>
    <w:p w14:paraId="6B7AAEBB" w14:textId="77777777" w:rsidR="00D20D92" w:rsidRPr="00D40509" w:rsidRDefault="00D20D92" w:rsidP="00D20D92">
      <w:r w:rsidRPr="00D40509">
        <w:t xml:space="preserve">О порядке подачи заявления рассказал Сергей Довгаль, руководитель юридического отдела Независимого Профсоюза </w:t>
      </w:r>
      <w:r w:rsidR="00D40509">
        <w:t>«</w:t>
      </w:r>
      <w:r w:rsidRPr="00D40509">
        <w:t>Новый Труд</w:t>
      </w:r>
      <w:r w:rsidR="00D40509">
        <w:t>»</w:t>
      </w:r>
      <w:r w:rsidRPr="00D40509">
        <w:t xml:space="preserve"> (НПНТ):</w:t>
      </w:r>
    </w:p>
    <w:p w14:paraId="5C8E1D0A" w14:textId="77777777" w:rsidR="00D20D92" w:rsidRPr="00D40509" w:rsidRDefault="00D20D92" w:rsidP="00D20D92">
      <w:r w:rsidRPr="00D40509">
        <w:t>•</w:t>
      </w:r>
      <w:r w:rsidRPr="00D40509">
        <w:tab/>
        <w:t>сбор необходимой документации;</w:t>
      </w:r>
    </w:p>
    <w:p w14:paraId="52FCF20E" w14:textId="77777777" w:rsidR="00D20D92" w:rsidRPr="00D40509" w:rsidRDefault="00D20D92" w:rsidP="00D20D92">
      <w:r w:rsidRPr="00D40509">
        <w:t>•</w:t>
      </w:r>
      <w:r w:rsidRPr="00D40509">
        <w:tab/>
        <w:t>заполнение заявления и декларации 3-НДФЛ;</w:t>
      </w:r>
    </w:p>
    <w:p w14:paraId="4CDEF2BB" w14:textId="77777777" w:rsidR="00D20D92" w:rsidRPr="00D40509" w:rsidRDefault="00D20D92" w:rsidP="00D20D92">
      <w:r w:rsidRPr="00D40509">
        <w:t>•</w:t>
      </w:r>
      <w:r w:rsidRPr="00D40509">
        <w:tab/>
        <w:t>отправка документов в налоговую инспекцию (как в личном, так и в электронном виде через личный кабинет налогоплательщика на сайте ФНС или с помощью портала госуслуг).</w:t>
      </w:r>
    </w:p>
    <w:p w14:paraId="2012BC23" w14:textId="77777777" w:rsidR="00D20D92" w:rsidRPr="00D40509" w:rsidRDefault="00D20D92" w:rsidP="00D20D92">
      <w:r w:rsidRPr="00D40509">
        <w:t>Сроки</w:t>
      </w:r>
    </w:p>
    <w:p w14:paraId="09C85A24" w14:textId="77777777" w:rsidR="00D20D92" w:rsidRPr="00D40509" w:rsidRDefault="00D20D92" w:rsidP="00D20D92">
      <w:r w:rsidRPr="00D40509">
        <w:t>Срок рассмотрения заявления обычно занимает до 30 дней. Подать заявление на возврат налога за предыдущие периоды можно в течение трех лет после окончания налогового периода.</w:t>
      </w:r>
    </w:p>
    <w:p w14:paraId="6636DF3B" w14:textId="77777777" w:rsidR="00D20D92" w:rsidRPr="00D40509" w:rsidRDefault="00D20D92" w:rsidP="00D20D92">
      <w:hyperlink r:id="rId8" w:history="1">
        <w:r w:rsidRPr="00D40509">
          <w:rPr>
            <w:rStyle w:val="a3"/>
          </w:rPr>
          <w:t>https://ria.ru/20241120/pensii-1984792426.html</w:t>
        </w:r>
      </w:hyperlink>
      <w:r w:rsidRPr="00D40509">
        <w:t xml:space="preserve"> </w:t>
      </w:r>
    </w:p>
    <w:p w14:paraId="621ED790" w14:textId="77777777" w:rsidR="008F5289" w:rsidRPr="00D40509" w:rsidRDefault="008F5289" w:rsidP="008F5289">
      <w:pPr>
        <w:pStyle w:val="2"/>
      </w:pPr>
      <w:bookmarkStart w:id="32" w:name="a2"/>
      <w:bookmarkStart w:id="33" w:name="_Hlk183066417"/>
      <w:bookmarkStart w:id="34" w:name="_Toc183067278"/>
      <w:bookmarkEnd w:id="29"/>
      <w:bookmarkEnd w:id="32"/>
      <w:r w:rsidRPr="00D40509">
        <w:t>Финам.ru, 20.11.2024, SWOT-анализ рынка НПФ в России</w:t>
      </w:r>
      <w:bookmarkEnd w:id="34"/>
      <w:r w:rsidRPr="00D40509">
        <w:t xml:space="preserve"> </w:t>
      </w:r>
    </w:p>
    <w:p w14:paraId="54409630" w14:textId="77777777" w:rsidR="008F5289" w:rsidRPr="00D40509" w:rsidRDefault="008F5289" w:rsidP="00EA17F3">
      <w:pPr>
        <w:pStyle w:val="3"/>
      </w:pPr>
      <w:bookmarkStart w:id="35" w:name="_Toc183067279"/>
      <w:r w:rsidRPr="00D40509">
        <w:t>Увеличение демографической нагрузки ввиду старения населения и сокращения рождаемости в Российской Федерации, создает серьезные вызовы для пенсионной системы нашей страны, требуя поиска новых решений. Это прослеживается в дефиците средств Социального Фонда РФ, который приходится покрывать за счет межбюджетных трансфертов.</w:t>
      </w:r>
      <w:bookmarkEnd w:id="35"/>
      <w:r w:rsidRPr="00D40509">
        <w:t xml:space="preserve"> </w:t>
      </w:r>
    </w:p>
    <w:p w14:paraId="4CCE9856" w14:textId="77777777" w:rsidR="008F5289" w:rsidRPr="00D40509" w:rsidRDefault="008F5289" w:rsidP="008F5289">
      <w:r w:rsidRPr="00D40509">
        <w:t xml:space="preserve">Исходя из этого, студенты 4 курса факультета экономической безопасности Сургутского государственного университета Токмаков Павел, Антипина Анна и Чубачук Юлия, представляющие команду </w:t>
      </w:r>
      <w:r w:rsidR="00D40509">
        <w:t>«</w:t>
      </w:r>
      <w:r w:rsidRPr="00D40509">
        <w:t>Мимо проходили</w:t>
      </w:r>
      <w:r w:rsidR="00D40509">
        <w:t>»</w:t>
      </w:r>
      <w:r w:rsidRPr="00D40509">
        <w:t xml:space="preserve"> в форсайт-сессии </w:t>
      </w:r>
      <w:r w:rsidR="00D40509">
        <w:t>«</w:t>
      </w:r>
      <w:r w:rsidRPr="00D40509">
        <w:t>Будущее финансовых рынков</w:t>
      </w:r>
      <w:r w:rsidR="00D40509">
        <w:t>»</w:t>
      </w:r>
      <w:r w:rsidRPr="00D40509">
        <w:t xml:space="preserve"> (FINFOR-2024), видят необходимость в работе над развитием негосударственных пенсионных сбережений. По их мнению, это повысит финансовую защищенность пенсионеров России к 2035 году. С работами других участников можно познакомиться на нашем сайте.</w:t>
      </w:r>
    </w:p>
    <w:p w14:paraId="2CB70079" w14:textId="77777777" w:rsidR="008F5289" w:rsidRPr="00D40509" w:rsidRDefault="008F5289" w:rsidP="008F5289">
      <w:r w:rsidRPr="00D40509">
        <w:t xml:space="preserve">Глобальные демографические тенденции, такие как увеличение продолжительности жизни и снижение уровня рождаемости, представляют собой серьезный вызов для пенсионных систем во всем мире, и Россия не является исключением. Негосударственные пенсии предоставляют гражданам возможность самостоятельно формировать дополнительные источники дохода к моменту выхода на пенсию, снижая, тем самым, зависимость от государственного пенсионного обеспечения и повышая уровень собственной финансовой защищенности в пожилом возрасте. Развитие этого инструмента позволяет не только улучшить материальное положение будущих </w:t>
      </w:r>
      <w:r w:rsidRPr="00D40509">
        <w:lastRenderedPageBreak/>
        <w:t>пенсионеров, но и снизить нагрузку на государство, способствуя улучшению сбалансированности пенсионной системы в целом.</w:t>
      </w:r>
    </w:p>
    <w:p w14:paraId="0399E4A6" w14:textId="77777777" w:rsidR="008F5289" w:rsidRPr="00D40509" w:rsidRDefault="00F334F0" w:rsidP="008F5289">
      <w:r>
        <w:pict w14:anchorId="7DE3B943">
          <v:shape id="_x0000_i1026" type="#_x0000_t75" style="width:453.75pt;height:269.25pt">
            <v:imagedata r:id="rId9" o:title="Пенсия"/>
          </v:shape>
        </w:pict>
      </w:r>
    </w:p>
    <w:p w14:paraId="41E55ABE" w14:textId="77777777" w:rsidR="008F5289" w:rsidRPr="00D40509" w:rsidRDefault="008F5289" w:rsidP="008F5289">
      <w:r w:rsidRPr="00D40509">
        <w:t>Рисунок – Динамика количества участников НПФ Источник: данные ЦБ РФ</w:t>
      </w:r>
    </w:p>
    <w:p w14:paraId="16D70BD5" w14:textId="77777777" w:rsidR="008F5289" w:rsidRPr="00D40509" w:rsidRDefault="008F5289" w:rsidP="008F5289">
      <w:r w:rsidRPr="00D40509">
        <w:t xml:space="preserve">Ключевым изменением на рынке является </w:t>
      </w:r>
      <w:r w:rsidRPr="00F334F0">
        <w:rPr>
          <w:b/>
          <w:bCs/>
        </w:rPr>
        <w:t>программа долгосрочных сбережений</w:t>
      </w:r>
      <w:r w:rsidRPr="00D40509">
        <w:t>, запущенная в 2024 году, — это добровольный накопительно-сберегательный продукт, позволяющий гражданам копить капитал за счет личных средств и пенсионных накоплений. Гражданин заключает договор с НПФ, делает взносы, которые НПФ инвестирует. Государство софинансирует взносы (до 36 000 рублей в год), размер зависит от дохода гражданина (от 1 рубля на рубль при доходе до 80 000 рублей/мес до 25 копеек на рубль при доходе свыше 150 000 рублей/мес). Предусмотрен налоговый вычет до 52 000 рублей в год (при взносах до 400 000 рублей), страхование средств до 2,8 млн рублей и досрочное снятие в особых жизненных ситуациях. Минимальный срок участия – 15 лет. Договор ПДС может быть заключен и третьими лицами (юр. или физ.) в пользу других граждан. ПДС дополняет существующие продукты НПФ, предоставляя новый инструмент с государственной поддержкой. Участие в программе добровольное.</w:t>
      </w:r>
    </w:p>
    <w:p w14:paraId="52EDB7EE" w14:textId="77777777" w:rsidR="008F5289" w:rsidRPr="00D40509" w:rsidRDefault="008F5289" w:rsidP="008F5289">
      <w:r w:rsidRPr="00D40509">
        <w:t>SWOT-анализ рынка НПФ в России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76"/>
        <w:gridCol w:w="5085"/>
      </w:tblGrid>
      <w:tr w:rsidR="008F5289" w:rsidRPr="00D40509" w14:paraId="73626F70" w14:textId="77777777" w:rsidTr="008F5289">
        <w:trPr>
          <w:tblCellSpacing w:w="15" w:type="dxa"/>
        </w:trPr>
        <w:tc>
          <w:tcPr>
            <w:tcW w:w="0" w:type="auto"/>
            <w:vAlign w:val="center"/>
            <w:hideMark/>
          </w:tcPr>
          <w:p w14:paraId="04B5FF3B" w14:textId="77777777" w:rsidR="008F5289" w:rsidRPr="00D40509" w:rsidRDefault="008F5289" w:rsidP="008F5289">
            <w:r w:rsidRPr="00D40509">
              <w:rPr>
                <w:bCs/>
              </w:rPr>
              <w:t>Сильные стороны</w:t>
            </w:r>
          </w:p>
        </w:tc>
        <w:tc>
          <w:tcPr>
            <w:tcW w:w="0" w:type="auto"/>
            <w:vAlign w:val="center"/>
            <w:hideMark/>
          </w:tcPr>
          <w:p w14:paraId="550D1EC6" w14:textId="77777777" w:rsidR="008F5289" w:rsidRPr="00D40509" w:rsidRDefault="008F5289" w:rsidP="008F5289">
            <w:r w:rsidRPr="00D40509">
              <w:rPr>
                <w:bCs/>
              </w:rPr>
              <w:t>Слабые стороны</w:t>
            </w:r>
          </w:p>
        </w:tc>
      </w:tr>
      <w:tr w:rsidR="008F5289" w:rsidRPr="00D40509" w14:paraId="2C487841" w14:textId="77777777" w:rsidTr="008F5289">
        <w:trPr>
          <w:tblCellSpacing w:w="15" w:type="dxa"/>
        </w:trPr>
        <w:tc>
          <w:tcPr>
            <w:tcW w:w="0" w:type="auto"/>
            <w:vAlign w:val="center"/>
            <w:hideMark/>
          </w:tcPr>
          <w:p w14:paraId="225A0FE7" w14:textId="77777777" w:rsidR="008F5289" w:rsidRPr="00D40509" w:rsidRDefault="008F5289" w:rsidP="008F5289">
            <w:r w:rsidRPr="00D40509">
              <w:t>Государственная поддержка</w:t>
            </w:r>
          </w:p>
        </w:tc>
        <w:tc>
          <w:tcPr>
            <w:tcW w:w="0" w:type="auto"/>
            <w:vAlign w:val="center"/>
            <w:hideMark/>
          </w:tcPr>
          <w:p w14:paraId="7420E044" w14:textId="77777777" w:rsidR="008F5289" w:rsidRPr="00D40509" w:rsidRDefault="008F5289" w:rsidP="008F5289">
            <w:r w:rsidRPr="00D40509">
              <w:t>Недостаточная капитализация</w:t>
            </w:r>
          </w:p>
        </w:tc>
      </w:tr>
      <w:tr w:rsidR="008F5289" w:rsidRPr="00D40509" w14:paraId="537F115A" w14:textId="77777777" w:rsidTr="008F5289">
        <w:trPr>
          <w:tblCellSpacing w:w="15" w:type="dxa"/>
        </w:trPr>
        <w:tc>
          <w:tcPr>
            <w:tcW w:w="0" w:type="auto"/>
            <w:vAlign w:val="center"/>
            <w:hideMark/>
          </w:tcPr>
          <w:p w14:paraId="733A30A6" w14:textId="77777777" w:rsidR="008F5289" w:rsidRPr="00D40509" w:rsidRDefault="008F5289" w:rsidP="008F5289">
            <w:r w:rsidRPr="00D40509">
              <w:t>Потенциал роста рынка</w:t>
            </w:r>
          </w:p>
        </w:tc>
        <w:tc>
          <w:tcPr>
            <w:tcW w:w="0" w:type="auto"/>
            <w:vAlign w:val="center"/>
            <w:hideMark/>
          </w:tcPr>
          <w:p w14:paraId="1A6944BF" w14:textId="77777777" w:rsidR="008F5289" w:rsidRPr="00D40509" w:rsidRDefault="008F5289" w:rsidP="008F5289">
            <w:r w:rsidRPr="00D40509">
              <w:t>Низкий уровень доверия населения</w:t>
            </w:r>
          </w:p>
        </w:tc>
      </w:tr>
      <w:tr w:rsidR="008F5289" w:rsidRPr="00D40509" w14:paraId="08E19BC9" w14:textId="77777777" w:rsidTr="008F5289">
        <w:trPr>
          <w:tblCellSpacing w:w="15" w:type="dxa"/>
        </w:trPr>
        <w:tc>
          <w:tcPr>
            <w:tcW w:w="0" w:type="auto"/>
            <w:vAlign w:val="center"/>
            <w:hideMark/>
          </w:tcPr>
          <w:p w14:paraId="4CC98BDA" w14:textId="77777777" w:rsidR="008F5289" w:rsidRPr="00D40509" w:rsidRDefault="008F5289" w:rsidP="008F5289">
            <w:r w:rsidRPr="00D40509">
              <w:t>Фидуциарная ответственность фондов</w:t>
            </w:r>
          </w:p>
        </w:tc>
        <w:tc>
          <w:tcPr>
            <w:tcW w:w="0" w:type="auto"/>
            <w:vAlign w:val="center"/>
            <w:hideMark/>
          </w:tcPr>
          <w:p w14:paraId="6B070215" w14:textId="77777777" w:rsidR="008F5289" w:rsidRPr="00D40509" w:rsidRDefault="008F5289" w:rsidP="008F5289">
            <w:r w:rsidRPr="00D40509">
              <w:t>Недостаточная финансовая грамотность</w:t>
            </w:r>
          </w:p>
          <w:p w14:paraId="06E7E24F" w14:textId="77777777" w:rsidR="009B37F8" w:rsidRPr="00D40509" w:rsidRDefault="008F5289" w:rsidP="008F5289">
            <w:r w:rsidRPr="00D40509">
              <w:t>населения</w:t>
            </w:r>
          </w:p>
        </w:tc>
      </w:tr>
      <w:tr w:rsidR="008F5289" w:rsidRPr="00D40509" w14:paraId="468C81C5" w14:textId="77777777" w:rsidTr="008F5289">
        <w:trPr>
          <w:tblCellSpacing w:w="15" w:type="dxa"/>
        </w:trPr>
        <w:tc>
          <w:tcPr>
            <w:tcW w:w="0" w:type="auto"/>
            <w:vAlign w:val="center"/>
            <w:hideMark/>
          </w:tcPr>
          <w:p w14:paraId="52223281" w14:textId="77777777" w:rsidR="008F5289" w:rsidRPr="00D40509" w:rsidRDefault="008F5289" w:rsidP="008F5289">
            <w:r w:rsidRPr="00D40509">
              <w:t xml:space="preserve">Определенный уровень гарантий от </w:t>
            </w:r>
            <w:r w:rsidRPr="00D40509">
              <w:lastRenderedPageBreak/>
              <w:t>АСВ</w:t>
            </w:r>
          </w:p>
        </w:tc>
        <w:tc>
          <w:tcPr>
            <w:tcW w:w="0" w:type="auto"/>
            <w:vAlign w:val="center"/>
            <w:hideMark/>
          </w:tcPr>
          <w:p w14:paraId="04F85975" w14:textId="77777777" w:rsidR="008F5289" w:rsidRPr="00D40509" w:rsidRDefault="008F5289" w:rsidP="008F5289">
            <w:r w:rsidRPr="00D40509">
              <w:lastRenderedPageBreak/>
              <w:t>Зависимость от рынка ценных бумаг</w:t>
            </w:r>
          </w:p>
        </w:tc>
      </w:tr>
      <w:tr w:rsidR="008F5289" w:rsidRPr="00D40509" w14:paraId="2AC0E0B6" w14:textId="77777777" w:rsidTr="008F5289">
        <w:trPr>
          <w:tblCellSpacing w:w="15" w:type="dxa"/>
        </w:trPr>
        <w:tc>
          <w:tcPr>
            <w:tcW w:w="0" w:type="auto"/>
            <w:vAlign w:val="center"/>
            <w:hideMark/>
          </w:tcPr>
          <w:p w14:paraId="175B391D" w14:textId="77777777" w:rsidR="008F5289" w:rsidRPr="00D40509" w:rsidRDefault="008F5289" w:rsidP="008F5289">
            <w:r w:rsidRPr="00D40509">
              <w:t>Диверсификация вложений</w:t>
            </w:r>
          </w:p>
        </w:tc>
        <w:tc>
          <w:tcPr>
            <w:tcW w:w="0" w:type="auto"/>
            <w:vAlign w:val="center"/>
            <w:hideMark/>
          </w:tcPr>
          <w:p w14:paraId="21AAB925" w14:textId="77777777" w:rsidR="008F5289" w:rsidRPr="00D40509" w:rsidRDefault="008F5289" w:rsidP="008F5289">
            <w:r w:rsidRPr="00D40509">
              <w:t>Меньший объем льгот по сравнению с</w:t>
            </w:r>
          </w:p>
          <w:p w14:paraId="2D8D8F58" w14:textId="77777777" w:rsidR="009B37F8" w:rsidRPr="00D40509" w:rsidRDefault="008F5289" w:rsidP="008F5289">
            <w:r w:rsidRPr="00D40509">
              <w:t>краткосрочными инвестициями</w:t>
            </w:r>
          </w:p>
        </w:tc>
      </w:tr>
      <w:tr w:rsidR="008F5289" w:rsidRPr="00D40509" w14:paraId="615E8152" w14:textId="77777777" w:rsidTr="008F5289">
        <w:trPr>
          <w:tblCellSpacing w:w="15" w:type="dxa"/>
        </w:trPr>
        <w:tc>
          <w:tcPr>
            <w:tcW w:w="0" w:type="auto"/>
            <w:vAlign w:val="center"/>
            <w:hideMark/>
          </w:tcPr>
          <w:p w14:paraId="4479735E" w14:textId="77777777" w:rsidR="008F5289" w:rsidRPr="00D40509" w:rsidRDefault="008F5289" w:rsidP="008F5289">
            <w:r w:rsidRPr="00D40509">
              <w:t> </w:t>
            </w:r>
          </w:p>
        </w:tc>
        <w:tc>
          <w:tcPr>
            <w:tcW w:w="0" w:type="auto"/>
            <w:vAlign w:val="center"/>
            <w:hideMark/>
          </w:tcPr>
          <w:p w14:paraId="024BC168" w14:textId="77777777" w:rsidR="008F5289" w:rsidRPr="00D40509" w:rsidRDefault="008F5289" w:rsidP="008F5289">
            <w:r w:rsidRPr="00D40509">
              <w:t>Низкая привлекательность вложений,</w:t>
            </w:r>
          </w:p>
          <w:p w14:paraId="2F47679B" w14:textId="77777777" w:rsidR="009B37F8" w:rsidRPr="00D40509" w:rsidRDefault="008F5289" w:rsidP="008F5289">
            <w:r w:rsidRPr="00D40509">
              <w:t>относительно банковских вкладов</w:t>
            </w:r>
          </w:p>
        </w:tc>
      </w:tr>
      <w:tr w:rsidR="008F5289" w:rsidRPr="00D40509" w14:paraId="42C379A8" w14:textId="77777777" w:rsidTr="008F5289">
        <w:trPr>
          <w:tblCellSpacing w:w="15" w:type="dxa"/>
        </w:trPr>
        <w:tc>
          <w:tcPr>
            <w:tcW w:w="0" w:type="auto"/>
            <w:vAlign w:val="center"/>
            <w:hideMark/>
          </w:tcPr>
          <w:p w14:paraId="019419BC" w14:textId="77777777" w:rsidR="008F5289" w:rsidRPr="00D40509" w:rsidRDefault="008F5289" w:rsidP="008F5289">
            <w:r w:rsidRPr="00D40509">
              <w:rPr>
                <w:bCs/>
              </w:rPr>
              <w:t>Возможности</w:t>
            </w:r>
          </w:p>
        </w:tc>
        <w:tc>
          <w:tcPr>
            <w:tcW w:w="0" w:type="auto"/>
            <w:vAlign w:val="center"/>
            <w:hideMark/>
          </w:tcPr>
          <w:p w14:paraId="29ABE6D6" w14:textId="77777777" w:rsidR="008F5289" w:rsidRPr="00D40509" w:rsidRDefault="008F5289" w:rsidP="008F5289">
            <w:r w:rsidRPr="00D40509">
              <w:rPr>
                <w:bCs/>
              </w:rPr>
              <w:t>Угрозы</w:t>
            </w:r>
          </w:p>
        </w:tc>
      </w:tr>
      <w:tr w:rsidR="008F5289" w:rsidRPr="00D40509" w14:paraId="34FBA7C8" w14:textId="77777777" w:rsidTr="008F5289">
        <w:trPr>
          <w:tblCellSpacing w:w="15" w:type="dxa"/>
        </w:trPr>
        <w:tc>
          <w:tcPr>
            <w:tcW w:w="0" w:type="auto"/>
            <w:vAlign w:val="center"/>
            <w:hideMark/>
          </w:tcPr>
          <w:p w14:paraId="601F062C" w14:textId="77777777" w:rsidR="008F5289" w:rsidRPr="00D40509" w:rsidRDefault="008F5289" w:rsidP="008F5289">
            <w:r w:rsidRPr="00D40509">
              <w:t>Цифровизация внутри рынка</w:t>
            </w:r>
          </w:p>
        </w:tc>
        <w:tc>
          <w:tcPr>
            <w:tcW w:w="0" w:type="auto"/>
            <w:vAlign w:val="center"/>
            <w:hideMark/>
          </w:tcPr>
          <w:p w14:paraId="213CA9F1" w14:textId="77777777" w:rsidR="008F5289" w:rsidRPr="00D40509" w:rsidRDefault="008F5289" w:rsidP="008F5289">
            <w:r w:rsidRPr="00D40509">
              <w:t>Уровень инфляции, превышающий</w:t>
            </w:r>
          </w:p>
          <w:p w14:paraId="2F5041DE" w14:textId="77777777" w:rsidR="009B37F8" w:rsidRPr="00D40509" w:rsidRDefault="008F5289" w:rsidP="008F5289">
            <w:r w:rsidRPr="00D40509">
              <w:t>доходность фонда от управления активами граждан</w:t>
            </w:r>
          </w:p>
        </w:tc>
      </w:tr>
      <w:tr w:rsidR="008F5289" w:rsidRPr="00D40509" w14:paraId="12FF9756" w14:textId="77777777" w:rsidTr="008F5289">
        <w:trPr>
          <w:tblCellSpacing w:w="15" w:type="dxa"/>
        </w:trPr>
        <w:tc>
          <w:tcPr>
            <w:tcW w:w="0" w:type="auto"/>
            <w:vAlign w:val="center"/>
            <w:hideMark/>
          </w:tcPr>
          <w:p w14:paraId="35607E18" w14:textId="77777777" w:rsidR="008F5289" w:rsidRPr="00D40509" w:rsidRDefault="008F5289" w:rsidP="008F5289">
            <w:r w:rsidRPr="00D40509">
              <w:t>Расширение перечня пенсионных</w:t>
            </w:r>
          </w:p>
          <w:p w14:paraId="51D241C6" w14:textId="77777777" w:rsidR="009B37F8" w:rsidRPr="00D40509" w:rsidRDefault="008F5289" w:rsidP="008F5289">
            <w:r w:rsidRPr="00D40509">
              <w:t>продуктов</w:t>
            </w:r>
          </w:p>
        </w:tc>
        <w:tc>
          <w:tcPr>
            <w:tcW w:w="0" w:type="auto"/>
            <w:vAlign w:val="center"/>
            <w:hideMark/>
          </w:tcPr>
          <w:p w14:paraId="0A3227B8" w14:textId="77777777" w:rsidR="008F5289" w:rsidRPr="00D40509" w:rsidRDefault="008F5289" w:rsidP="008F5289">
            <w:r w:rsidRPr="00D40509">
              <w:t>Массовое банкротство фондов из-за</w:t>
            </w:r>
          </w:p>
          <w:p w14:paraId="412A68B4" w14:textId="77777777" w:rsidR="009B37F8" w:rsidRPr="00D40509" w:rsidRDefault="008F5289" w:rsidP="008F5289">
            <w:r w:rsidRPr="00D40509">
              <w:t>экономического кризиса</w:t>
            </w:r>
          </w:p>
        </w:tc>
      </w:tr>
      <w:tr w:rsidR="008F5289" w:rsidRPr="00D40509" w14:paraId="70921148" w14:textId="77777777" w:rsidTr="008F5289">
        <w:trPr>
          <w:tblCellSpacing w:w="15" w:type="dxa"/>
        </w:trPr>
        <w:tc>
          <w:tcPr>
            <w:tcW w:w="0" w:type="auto"/>
            <w:vAlign w:val="center"/>
            <w:hideMark/>
          </w:tcPr>
          <w:p w14:paraId="725D7ED4" w14:textId="77777777" w:rsidR="008F5289" w:rsidRPr="00D40509" w:rsidRDefault="008F5289" w:rsidP="008F5289">
            <w:r w:rsidRPr="00D40509">
              <w:t>Увеличение числа партнеров</w:t>
            </w:r>
          </w:p>
        </w:tc>
        <w:tc>
          <w:tcPr>
            <w:tcW w:w="0" w:type="auto"/>
            <w:vAlign w:val="center"/>
            <w:hideMark/>
          </w:tcPr>
          <w:p w14:paraId="07D77AE3" w14:textId="77777777" w:rsidR="008F5289" w:rsidRPr="00D40509" w:rsidRDefault="008F5289" w:rsidP="008F5289">
            <w:r w:rsidRPr="00D40509">
              <w:t>Геополитическая нестабильность</w:t>
            </w:r>
          </w:p>
        </w:tc>
      </w:tr>
    </w:tbl>
    <w:p w14:paraId="2EADE78D" w14:textId="77777777" w:rsidR="008F5289" w:rsidRPr="00D40509" w:rsidRDefault="008F5289" w:rsidP="008F5289">
      <w:r w:rsidRPr="00D40509">
        <w:t>Повышение капитализации и уровня доверия населения, снижение зависимости от рынка ценных бумаг, улучшения привлекательности вложений, на наш взгляд, можно достичь за счет доступа НПФ к реальному сектору экономики.</w:t>
      </w:r>
    </w:p>
    <w:p w14:paraId="6098D161" w14:textId="77777777" w:rsidR="008F5289" w:rsidRPr="00D40509" w:rsidRDefault="008F5289" w:rsidP="008F5289">
      <w:r w:rsidRPr="00D40509">
        <w:t>Как это будет работать: граждане будут вкладывать средства в негосударственные пенсионные фонды, фонды в свою очередь будут анализировать инвестиционные проекты, предлагаемые государством (через специальную прозрачную платформу), и выбирать из них наиболее перспективные. Путем голосования участники фондов смогут выбирать из этих проектов то, что наиболее привлекательно для них. После выбора инвестиционного проекта фонд будет перечислять средства, необходимые для его реализации на счета платформы (возможно использование цифрового рубля), контролируемой государством. Государство будет выбирать подрядчиков для реализации данных проектов (снижение рисков). После выбора подрядчика со счетов платформы частями будет осуществляться финансирование реализации проекта. После выполнения проекта государство будет возвращать фонду средства, вложенные им, с условием платности их использования. Данное возмещение государство будет осуществлять за счет средств бюджета, а также средств, полученных (получаемых) от использования построенного объекта. Фонд может не полностью финансировать проект, т.е. допускается софинансирование.</w:t>
      </w:r>
    </w:p>
    <w:p w14:paraId="61A5692D" w14:textId="77777777" w:rsidR="008F5289" w:rsidRPr="00D40509" w:rsidRDefault="008F5289" w:rsidP="008F5289">
      <w:r w:rsidRPr="00D40509">
        <w:t>Риски банкротства НПФ будут покрываться гарантией страхового возмещения от АСВ (в размере до 2,8 млн. на одного вкладчика по ФЗ № 555 ст. 10). Риски, связанные с недобросовестность поставщика, будут снижены за счет различных форм обеспечения (банковской гарантии, залога, поручительства и т.п.), можно будет использовать механизмы, существующие в системе госзакупок (по 44 и 223 ФЗ, например, внесение поставщиком части стоимости контракта, которую он вернет только после его выполнения).</w:t>
      </w:r>
    </w:p>
    <w:p w14:paraId="21C0D59E" w14:textId="77777777" w:rsidR="008F5289" w:rsidRPr="00D40509" w:rsidRDefault="008F5289" w:rsidP="008F5289">
      <w:r w:rsidRPr="00D40509">
        <w:t xml:space="preserve">В итоге мы получаем своего рода механизм государственно-частного партнерства, интегрированный в цифровую экономику. Строятся реальные объекты инфраструктуры (в том числе социально важные), население чувствует принадлежность к развитию </w:t>
      </w:r>
      <w:r w:rsidRPr="00D40509">
        <w:lastRenderedPageBreak/>
        <w:t>страны и при этом увеличивает свои активы в НПФ, фонды также в плюсе от этого (т.к. получают определенный процент от управления активами граждан), а государство снижает нагрузку на бюджет и выполняет свои обязательства по улучшению качества жизни (за счет развития инфраструктуры).</w:t>
      </w:r>
    </w:p>
    <w:p w14:paraId="7DCFC1F2" w14:textId="77777777" w:rsidR="008F5289" w:rsidRPr="00D40509" w:rsidRDefault="008F5289" w:rsidP="008F5289">
      <w:r w:rsidRPr="00D40509">
        <w:t>Прогноз количества участников НПФ</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3624"/>
      </w:tblGrid>
      <w:tr w:rsidR="008F5289" w:rsidRPr="00D40509" w14:paraId="69A2350C" w14:textId="77777777" w:rsidTr="008F5289">
        <w:trPr>
          <w:tblCellSpacing w:w="15" w:type="dxa"/>
        </w:trPr>
        <w:tc>
          <w:tcPr>
            <w:tcW w:w="0" w:type="auto"/>
            <w:vAlign w:val="center"/>
            <w:hideMark/>
          </w:tcPr>
          <w:p w14:paraId="26505FEB" w14:textId="77777777" w:rsidR="008F5289" w:rsidRPr="00D40509" w:rsidRDefault="008F5289" w:rsidP="008F5289">
            <w:r w:rsidRPr="00D40509">
              <w:t>Год</w:t>
            </w:r>
          </w:p>
        </w:tc>
        <w:tc>
          <w:tcPr>
            <w:tcW w:w="0" w:type="auto"/>
            <w:vAlign w:val="center"/>
            <w:hideMark/>
          </w:tcPr>
          <w:p w14:paraId="747C8FB6" w14:textId="77777777" w:rsidR="008F5289" w:rsidRPr="00D40509" w:rsidRDefault="008F5289" w:rsidP="008F5289">
            <w:r w:rsidRPr="00D40509">
              <w:t>Количество участников НПФ, чел.</w:t>
            </w:r>
          </w:p>
        </w:tc>
      </w:tr>
      <w:tr w:rsidR="008F5289" w:rsidRPr="00D40509" w14:paraId="5A45626D" w14:textId="77777777" w:rsidTr="008F5289">
        <w:trPr>
          <w:tblCellSpacing w:w="15" w:type="dxa"/>
        </w:trPr>
        <w:tc>
          <w:tcPr>
            <w:tcW w:w="0" w:type="auto"/>
            <w:vAlign w:val="center"/>
            <w:hideMark/>
          </w:tcPr>
          <w:p w14:paraId="0ED9F7FC" w14:textId="77777777" w:rsidR="008F5289" w:rsidRPr="00D40509" w:rsidRDefault="008F5289" w:rsidP="008F5289">
            <w:r w:rsidRPr="00D40509">
              <w:t>2025</w:t>
            </w:r>
          </w:p>
        </w:tc>
        <w:tc>
          <w:tcPr>
            <w:tcW w:w="0" w:type="auto"/>
            <w:vAlign w:val="center"/>
            <w:hideMark/>
          </w:tcPr>
          <w:p w14:paraId="5B0B443B" w14:textId="77777777" w:rsidR="008F5289" w:rsidRPr="00D40509" w:rsidRDefault="008F5289" w:rsidP="008F5289">
            <w:r w:rsidRPr="00D40509">
              <w:t>6 466 171</w:t>
            </w:r>
          </w:p>
        </w:tc>
      </w:tr>
      <w:tr w:rsidR="008F5289" w:rsidRPr="00D40509" w14:paraId="1404FE44" w14:textId="77777777" w:rsidTr="008F5289">
        <w:trPr>
          <w:tblCellSpacing w:w="15" w:type="dxa"/>
        </w:trPr>
        <w:tc>
          <w:tcPr>
            <w:tcW w:w="0" w:type="auto"/>
            <w:vAlign w:val="center"/>
            <w:hideMark/>
          </w:tcPr>
          <w:p w14:paraId="32DDC504" w14:textId="77777777" w:rsidR="008F5289" w:rsidRPr="00D40509" w:rsidRDefault="008F5289" w:rsidP="008F5289">
            <w:r w:rsidRPr="00D40509">
              <w:t>2026</w:t>
            </w:r>
          </w:p>
        </w:tc>
        <w:tc>
          <w:tcPr>
            <w:tcW w:w="0" w:type="auto"/>
            <w:vAlign w:val="center"/>
            <w:hideMark/>
          </w:tcPr>
          <w:p w14:paraId="00DC06FE" w14:textId="77777777" w:rsidR="008F5289" w:rsidRPr="00D40509" w:rsidRDefault="008F5289" w:rsidP="008F5289">
            <w:r w:rsidRPr="00D40509">
              <w:t>6 521 490</w:t>
            </w:r>
          </w:p>
        </w:tc>
      </w:tr>
      <w:tr w:rsidR="008F5289" w:rsidRPr="00D40509" w14:paraId="00E5825D" w14:textId="77777777" w:rsidTr="008F5289">
        <w:trPr>
          <w:tblCellSpacing w:w="15" w:type="dxa"/>
        </w:trPr>
        <w:tc>
          <w:tcPr>
            <w:tcW w:w="0" w:type="auto"/>
            <w:vAlign w:val="center"/>
            <w:hideMark/>
          </w:tcPr>
          <w:p w14:paraId="1E9B2ED4" w14:textId="77777777" w:rsidR="008F5289" w:rsidRPr="00D40509" w:rsidRDefault="008F5289" w:rsidP="008F5289">
            <w:r w:rsidRPr="00D40509">
              <w:t>2027</w:t>
            </w:r>
          </w:p>
        </w:tc>
        <w:tc>
          <w:tcPr>
            <w:tcW w:w="0" w:type="auto"/>
            <w:vAlign w:val="center"/>
            <w:hideMark/>
          </w:tcPr>
          <w:p w14:paraId="42603BDE" w14:textId="77777777" w:rsidR="008F5289" w:rsidRPr="00D40509" w:rsidRDefault="008F5289" w:rsidP="008F5289">
            <w:r w:rsidRPr="00D40509">
              <w:t>6 576 810</w:t>
            </w:r>
          </w:p>
        </w:tc>
      </w:tr>
      <w:tr w:rsidR="008F5289" w:rsidRPr="00D40509" w14:paraId="3898617E" w14:textId="77777777" w:rsidTr="008F5289">
        <w:trPr>
          <w:tblCellSpacing w:w="15" w:type="dxa"/>
        </w:trPr>
        <w:tc>
          <w:tcPr>
            <w:tcW w:w="0" w:type="auto"/>
            <w:vAlign w:val="center"/>
            <w:hideMark/>
          </w:tcPr>
          <w:p w14:paraId="7FC6E952" w14:textId="77777777" w:rsidR="008F5289" w:rsidRPr="00D40509" w:rsidRDefault="008F5289" w:rsidP="008F5289">
            <w:r w:rsidRPr="00D40509">
              <w:t>2028</w:t>
            </w:r>
          </w:p>
        </w:tc>
        <w:tc>
          <w:tcPr>
            <w:tcW w:w="0" w:type="auto"/>
            <w:vAlign w:val="center"/>
            <w:hideMark/>
          </w:tcPr>
          <w:p w14:paraId="0CF1F032" w14:textId="77777777" w:rsidR="008F5289" w:rsidRPr="00D40509" w:rsidRDefault="008F5289" w:rsidP="008F5289">
            <w:r w:rsidRPr="00D40509">
              <w:t>6 632 129</w:t>
            </w:r>
          </w:p>
        </w:tc>
      </w:tr>
      <w:tr w:rsidR="008F5289" w:rsidRPr="00D40509" w14:paraId="2102A366" w14:textId="77777777" w:rsidTr="008F5289">
        <w:trPr>
          <w:tblCellSpacing w:w="15" w:type="dxa"/>
        </w:trPr>
        <w:tc>
          <w:tcPr>
            <w:tcW w:w="0" w:type="auto"/>
            <w:vAlign w:val="center"/>
            <w:hideMark/>
          </w:tcPr>
          <w:p w14:paraId="48E0E282" w14:textId="77777777" w:rsidR="008F5289" w:rsidRPr="00D40509" w:rsidRDefault="008F5289" w:rsidP="008F5289">
            <w:r w:rsidRPr="00D40509">
              <w:t>2029</w:t>
            </w:r>
          </w:p>
        </w:tc>
        <w:tc>
          <w:tcPr>
            <w:tcW w:w="0" w:type="auto"/>
            <w:vAlign w:val="center"/>
            <w:hideMark/>
          </w:tcPr>
          <w:p w14:paraId="765E76DB" w14:textId="77777777" w:rsidR="008F5289" w:rsidRPr="00D40509" w:rsidRDefault="008F5289" w:rsidP="008F5289">
            <w:r w:rsidRPr="00D40509">
              <w:t>6 687 448</w:t>
            </w:r>
          </w:p>
        </w:tc>
      </w:tr>
      <w:tr w:rsidR="008F5289" w:rsidRPr="00D40509" w14:paraId="52A124E2" w14:textId="77777777" w:rsidTr="008F5289">
        <w:trPr>
          <w:tblCellSpacing w:w="15" w:type="dxa"/>
        </w:trPr>
        <w:tc>
          <w:tcPr>
            <w:tcW w:w="0" w:type="auto"/>
            <w:vAlign w:val="center"/>
            <w:hideMark/>
          </w:tcPr>
          <w:p w14:paraId="7D4352FF" w14:textId="77777777" w:rsidR="008F5289" w:rsidRPr="00D40509" w:rsidRDefault="008F5289" w:rsidP="008F5289">
            <w:r w:rsidRPr="00D40509">
              <w:t>2030</w:t>
            </w:r>
          </w:p>
        </w:tc>
        <w:tc>
          <w:tcPr>
            <w:tcW w:w="0" w:type="auto"/>
            <w:vAlign w:val="center"/>
            <w:hideMark/>
          </w:tcPr>
          <w:p w14:paraId="1AD403C4" w14:textId="77777777" w:rsidR="008F5289" w:rsidRPr="00D40509" w:rsidRDefault="008F5289" w:rsidP="008F5289">
            <w:r w:rsidRPr="00D40509">
              <w:t>6 742 768</w:t>
            </w:r>
          </w:p>
        </w:tc>
      </w:tr>
      <w:tr w:rsidR="008F5289" w:rsidRPr="00D40509" w14:paraId="0B38EF06" w14:textId="77777777" w:rsidTr="008F5289">
        <w:trPr>
          <w:tblCellSpacing w:w="15" w:type="dxa"/>
        </w:trPr>
        <w:tc>
          <w:tcPr>
            <w:tcW w:w="0" w:type="auto"/>
            <w:vAlign w:val="center"/>
            <w:hideMark/>
          </w:tcPr>
          <w:p w14:paraId="0B10D22A" w14:textId="77777777" w:rsidR="008F5289" w:rsidRPr="00D40509" w:rsidRDefault="008F5289" w:rsidP="008F5289">
            <w:r w:rsidRPr="00D40509">
              <w:t>2031</w:t>
            </w:r>
          </w:p>
        </w:tc>
        <w:tc>
          <w:tcPr>
            <w:tcW w:w="0" w:type="auto"/>
            <w:vAlign w:val="center"/>
            <w:hideMark/>
          </w:tcPr>
          <w:p w14:paraId="1F5B437E" w14:textId="77777777" w:rsidR="008F5289" w:rsidRPr="00D40509" w:rsidRDefault="008F5289" w:rsidP="008F5289">
            <w:r w:rsidRPr="00D40509">
              <w:t>6 798 087</w:t>
            </w:r>
          </w:p>
        </w:tc>
      </w:tr>
      <w:tr w:rsidR="008F5289" w:rsidRPr="00D40509" w14:paraId="39A3705A" w14:textId="77777777" w:rsidTr="008F5289">
        <w:trPr>
          <w:tblCellSpacing w:w="15" w:type="dxa"/>
        </w:trPr>
        <w:tc>
          <w:tcPr>
            <w:tcW w:w="0" w:type="auto"/>
            <w:vAlign w:val="center"/>
            <w:hideMark/>
          </w:tcPr>
          <w:p w14:paraId="22368024" w14:textId="77777777" w:rsidR="008F5289" w:rsidRPr="00D40509" w:rsidRDefault="008F5289" w:rsidP="008F5289">
            <w:r w:rsidRPr="00D40509">
              <w:t>2032</w:t>
            </w:r>
          </w:p>
        </w:tc>
        <w:tc>
          <w:tcPr>
            <w:tcW w:w="0" w:type="auto"/>
            <w:vAlign w:val="center"/>
            <w:hideMark/>
          </w:tcPr>
          <w:p w14:paraId="1FDE9915" w14:textId="77777777" w:rsidR="008F5289" w:rsidRPr="00D40509" w:rsidRDefault="008F5289" w:rsidP="008F5289">
            <w:r w:rsidRPr="00D40509">
              <w:t>6 853 406</w:t>
            </w:r>
          </w:p>
        </w:tc>
      </w:tr>
      <w:tr w:rsidR="008F5289" w:rsidRPr="00D40509" w14:paraId="0B95E037" w14:textId="77777777" w:rsidTr="008F5289">
        <w:trPr>
          <w:tblCellSpacing w:w="15" w:type="dxa"/>
        </w:trPr>
        <w:tc>
          <w:tcPr>
            <w:tcW w:w="0" w:type="auto"/>
            <w:vAlign w:val="center"/>
            <w:hideMark/>
          </w:tcPr>
          <w:p w14:paraId="4E1A0F9A" w14:textId="77777777" w:rsidR="008F5289" w:rsidRPr="00D40509" w:rsidRDefault="008F5289" w:rsidP="008F5289">
            <w:r w:rsidRPr="00D40509">
              <w:t>2033</w:t>
            </w:r>
          </w:p>
        </w:tc>
        <w:tc>
          <w:tcPr>
            <w:tcW w:w="0" w:type="auto"/>
            <w:vAlign w:val="center"/>
            <w:hideMark/>
          </w:tcPr>
          <w:p w14:paraId="58D557CB" w14:textId="77777777" w:rsidR="008F5289" w:rsidRPr="00D40509" w:rsidRDefault="008F5289" w:rsidP="008F5289">
            <w:r w:rsidRPr="00D40509">
              <w:t>6 908 726</w:t>
            </w:r>
          </w:p>
        </w:tc>
      </w:tr>
      <w:tr w:rsidR="008F5289" w:rsidRPr="00D40509" w14:paraId="3AB43D84" w14:textId="77777777" w:rsidTr="008F5289">
        <w:trPr>
          <w:tblCellSpacing w:w="15" w:type="dxa"/>
        </w:trPr>
        <w:tc>
          <w:tcPr>
            <w:tcW w:w="0" w:type="auto"/>
            <w:vAlign w:val="center"/>
            <w:hideMark/>
          </w:tcPr>
          <w:p w14:paraId="0FC74CD0" w14:textId="77777777" w:rsidR="008F5289" w:rsidRPr="00D40509" w:rsidRDefault="008F5289" w:rsidP="008F5289">
            <w:r w:rsidRPr="00D40509">
              <w:t>2034</w:t>
            </w:r>
          </w:p>
        </w:tc>
        <w:tc>
          <w:tcPr>
            <w:tcW w:w="0" w:type="auto"/>
            <w:vAlign w:val="center"/>
            <w:hideMark/>
          </w:tcPr>
          <w:p w14:paraId="6BDA8F31" w14:textId="77777777" w:rsidR="008F5289" w:rsidRPr="00D40509" w:rsidRDefault="008F5289" w:rsidP="008F5289">
            <w:r w:rsidRPr="00D40509">
              <w:t>6 964 045</w:t>
            </w:r>
          </w:p>
        </w:tc>
      </w:tr>
      <w:tr w:rsidR="008F5289" w:rsidRPr="00D40509" w14:paraId="50BC8003" w14:textId="77777777" w:rsidTr="008F5289">
        <w:trPr>
          <w:tblCellSpacing w:w="15" w:type="dxa"/>
        </w:trPr>
        <w:tc>
          <w:tcPr>
            <w:tcW w:w="0" w:type="auto"/>
            <w:vAlign w:val="center"/>
            <w:hideMark/>
          </w:tcPr>
          <w:p w14:paraId="2FA8CE64" w14:textId="77777777" w:rsidR="008F5289" w:rsidRPr="00D40509" w:rsidRDefault="008F5289" w:rsidP="008F5289">
            <w:r w:rsidRPr="00D40509">
              <w:t>2035</w:t>
            </w:r>
          </w:p>
        </w:tc>
        <w:tc>
          <w:tcPr>
            <w:tcW w:w="0" w:type="auto"/>
            <w:vAlign w:val="center"/>
            <w:hideMark/>
          </w:tcPr>
          <w:p w14:paraId="7A029935" w14:textId="77777777" w:rsidR="008F5289" w:rsidRPr="00D40509" w:rsidRDefault="008F5289" w:rsidP="008F5289">
            <w:r w:rsidRPr="00D40509">
              <w:t>7 019 364</w:t>
            </w:r>
          </w:p>
        </w:tc>
      </w:tr>
    </w:tbl>
    <w:p w14:paraId="6A87D35F" w14:textId="77777777" w:rsidR="008F5289" w:rsidRPr="00D40509" w:rsidRDefault="008F5289" w:rsidP="008F5289">
      <w:r w:rsidRPr="00D40509">
        <w:t>Источник: спрогнозировано авторами</w:t>
      </w:r>
    </w:p>
    <w:p w14:paraId="77C4CD02" w14:textId="77777777" w:rsidR="00111D7C" w:rsidRPr="00D40509" w:rsidRDefault="008F5289" w:rsidP="008F5289">
      <w:hyperlink r:id="rId10" w:history="1">
        <w:r w:rsidRPr="00D40509">
          <w:rPr>
            <w:rStyle w:val="a3"/>
          </w:rPr>
          <w:t>https://www.finam.ru/publications/item/swot-analiz-rynka-npf-v-rossii-20241120-1115/</w:t>
        </w:r>
      </w:hyperlink>
    </w:p>
    <w:p w14:paraId="53F9BC56" w14:textId="77777777" w:rsidR="00174B3A" w:rsidRPr="00D40509" w:rsidRDefault="00174B3A" w:rsidP="00174B3A">
      <w:pPr>
        <w:pStyle w:val="2"/>
      </w:pPr>
      <w:bookmarkStart w:id="36" w:name="a3"/>
      <w:bookmarkStart w:id="37" w:name="_Hlk183066547"/>
      <w:bookmarkStart w:id="38" w:name="_Toc183067280"/>
      <w:bookmarkEnd w:id="33"/>
      <w:bookmarkEnd w:id="36"/>
      <w:r w:rsidRPr="00D40509">
        <w:t>Пенсия.pro, 20.11.2024, НПФ ОПФ добился роста взносов и инвестиционного дохода</w:t>
      </w:r>
      <w:bookmarkEnd w:id="38"/>
    </w:p>
    <w:p w14:paraId="2EBB1DC3" w14:textId="77777777" w:rsidR="00174B3A" w:rsidRPr="00D40509" w:rsidRDefault="00174B3A" w:rsidP="00EA17F3">
      <w:pPr>
        <w:pStyle w:val="3"/>
      </w:pPr>
      <w:bookmarkStart w:id="39" w:name="_Toc183067281"/>
      <w:r w:rsidRPr="00D40509">
        <w:t xml:space="preserve">Негосударственный пенсионный фонд </w:t>
      </w:r>
      <w:r w:rsidR="00D40509">
        <w:t>«</w:t>
      </w:r>
      <w:r w:rsidRPr="00D40509">
        <w:t>Оборонно-промышленный фонд имени В. В. Ливанова</w:t>
      </w:r>
      <w:r w:rsidR="00D40509">
        <w:t>»</w:t>
      </w:r>
      <w:r w:rsidRPr="00D40509">
        <w:t xml:space="preserve"> (НПФ ОПФ) с начала года увеличил активы довольно незначительно — на 340 млн рублей, до 9,32 млрд. Обязательства составили 6 млрд рублей, следует из новой квартальной отчетности.</w:t>
      </w:r>
      <w:bookmarkEnd w:id="39"/>
    </w:p>
    <w:p w14:paraId="5B71989B" w14:textId="77777777" w:rsidR="00174B3A" w:rsidRPr="00D40509" w:rsidRDefault="00174B3A" w:rsidP="00174B3A">
      <w:r w:rsidRPr="00D40509">
        <w:t>Объем взносов по пенсионным программам фонда вырос с 48,6 млн рублей до 56,75 млн. Рост и по ОПС (перевод накопительной части пенсии) — с 12,3 млн рублей до 16 млн, и по негосударственной пенсии (НПО) — с 36,4 млн до 40,7 млн рублей.</w:t>
      </w:r>
    </w:p>
    <w:p w14:paraId="2FF85930" w14:textId="77777777" w:rsidR="00174B3A" w:rsidRPr="00D40509" w:rsidRDefault="00174B3A" w:rsidP="00174B3A">
      <w:r w:rsidRPr="00D40509">
        <w:t>Выплаты клиентам-пенсионерам тоже выросли. Год назад они были = 270,5 млн рублей, а по итогам девяти месяцев 2024 года достигли 284,5 млн.</w:t>
      </w:r>
    </w:p>
    <w:p w14:paraId="658248F9" w14:textId="77777777" w:rsidR="00174B3A" w:rsidRPr="00D40509" w:rsidRDefault="00F334F0" w:rsidP="00174B3A">
      <w:r>
        <w:lastRenderedPageBreak/>
        <w:pict w14:anchorId="24473EA5">
          <v:shape id="_x0000_i1027" type="#_x0000_t75" style="width:453.75pt;height:342pt">
            <v:imagedata r:id="rId11" o:title="Пенсия"/>
          </v:shape>
        </w:pict>
      </w:r>
    </w:p>
    <w:p w14:paraId="52365DAF" w14:textId="77777777" w:rsidR="00174B3A" w:rsidRPr="00D40509" w:rsidRDefault="00174B3A" w:rsidP="00174B3A">
      <w:r w:rsidRPr="00D40509">
        <w:t>Доходы от вложения накоплений и резервов в фондовый рынок выросли более чем на 80 млн рублей, до 685,5 млн. Совокупный доход фонда за отчетный период вырос с 559,7 млн до 636,8 млн рублей.</w:t>
      </w:r>
    </w:p>
    <w:p w14:paraId="0AB4EBA1" w14:textId="77777777" w:rsidR="00174B3A" w:rsidRPr="00D40509" w:rsidRDefault="00174B3A" w:rsidP="00174B3A">
      <w:r w:rsidRPr="00D40509">
        <w:t xml:space="preserve">НПФ ОПФ входит в группу компаний </w:t>
      </w:r>
      <w:r w:rsidR="00D40509">
        <w:t>«</w:t>
      </w:r>
      <w:r w:rsidRPr="00D40509">
        <w:t>Регион</w:t>
      </w:r>
      <w:r w:rsidR="00D40509">
        <w:t>»</w:t>
      </w:r>
      <w:r w:rsidRPr="00D40509">
        <w:t xml:space="preserve">. Ранее она поглотила крупный концерн </w:t>
      </w:r>
      <w:r w:rsidR="00D40509">
        <w:t>«</w:t>
      </w:r>
      <w:r w:rsidRPr="00D40509">
        <w:t>Россиум</w:t>
      </w:r>
      <w:r w:rsidR="00D40509">
        <w:t>»</w:t>
      </w:r>
      <w:r w:rsidRPr="00D40509">
        <w:t xml:space="preserve"> и стала полноправным владельцем НПФ </w:t>
      </w:r>
      <w:r w:rsidR="00D40509">
        <w:t>«</w:t>
      </w:r>
      <w:r w:rsidRPr="00D40509">
        <w:t>Эволюция</w:t>
      </w:r>
      <w:r w:rsidR="00D40509">
        <w:t>»</w:t>
      </w:r>
      <w:r w:rsidRPr="00D40509">
        <w:t xml:space="preserve"> — третьего по величине фонда на рынке.</w:t>
      </w:r>
    </w:p>
    <w:p w14:paraId="59C025ED" w14:textId="77777777" w:rsidR="00174B3A" w:rsidRPr="00D40509" w:rsidRDefault="00174B3A" w:rsidP="00174B3A">
      <w:hyperlink r:id="rId12" w:history="1">
        <w:r w:rsidRPr="00D40509">
          <w:rPr>
            <w:rStyle w:val="a3"/>
          </w:rPr>
          <w:t>https://pensiya.pro/news/npf-opf-dobilsya-rosta-vznosov-i-investiczionnogo-dohoda/</w:t>
        </w:r>
      </w:hyperlink>
      <w:r w:rsidRPr="00D40509">
        <w:t xml:space="preserve"> </w:t>
      </w:r>
    </w:p>
    <w:p w14:paraId="3B7BD5E8" w14:textId="77777777" w:rsidR="00174B3A" w:rsidRPr="00D40509" w:rsidRDefault="00174B3A" w:rsidP="00174B3A">
      <w:pPr>
        <w:pStyle w:val="2"/>
      </w:pPr>
      <w:bookmarkStart w:id="40" w:name="_Toc183067282"/>
      <w:bookmarkEnd w:id="37"/>
      <w:r w:rsidRPr="00D40509">
        <w:t>Пенсия.pro, 20.11.2024, Антон РОЖКОВ, Инвестиции для пассивного дохода</w:t>
      </w:r>
      <w:bookmarkEnd w:id="40"/>
    </w:p>
    <w:p w14:paraId="18C9F2D6" w14:textId="77777777" w:rsidR="00174B3A" w:rsidRPr="00D40509" w:rsidRDefault="00174B3A" w:rsidP="00EA17F3">
      <w:pPr>
        <w:pStyle w:val="3"/>
      </w:pPr>
      <w:bookmarkStart w:id="41" w:name="_Toc183067283"/>
      <w:r w:rsidRPr="00D40509">
        <w:t>Вот взять бы вложить свои сбережения и не беспокоиться о дополнительном доходе в старости! Хорошо бы, чтобы он был пассивным, ведь с годами работать становится всё сложнее. Неужели действительно можно вложить деньги во что-то и жить безбедно? Да, но есть несколько моментов. Объясняем, сколько и куда нужно инвестировать, чтобы в преклонном возрасте не пришлось считать копейки.</w:t>
      </w:r>
      <w:bookmarkEnd w:id="41"/>
    </w:p>
    <w:p w14:paraId="1675AF25" w14:textId="77777777" w:rsidR="00174B3A" w:rsidRPr="00D40509" w:rsidRDefault="00174B3A" w:rsidP="00174B3A">
      <w:r w:rsidRPr="00D40509">
        <w:t>Недвижимость в аренду</w:t>
      </w:r>
    </w:p>
    <w:p w14:paraId="3BCCE925" w14:textId="77777777" w:rsidR="00174B3A" w:rsidRPr="00D40509" w:rsidRDefault="00174B3A" w:rsidP="00174B3A">
      <w:r w:rsidRPr="00D40509">
        <w:t xml:space="preserve">Один из способов получения пассивного дохода — это покупка недвижимости с последующей сдачей в аренду. Однако это требует значительных затрат. Небольшая </w:t>
      </w:r>
      <w:r w:rsidRPr="00D40509">
        <w:lastRenderedPageBreak/>
        <w:t>квартира в новостройке в российской глубинке может стоить от 2 млн до 3 млн рублей. Желательно выбрать вариант с отделкой, чтобы избежать дополнительных расходов на ремонт.</w:t>
      </w:r>
    </w:p>
    <w:p w14:paraId="3F190DF4" w14:textId="77777777" w:rsidR="00174B3A" w:rsidRPr="00D40509" w:rsidRDefault="00174B3A" w:rsidP="00174B3A">
      <w:r w:rsidRPr="00D40509">
        <w:t>При этом, стоимость аренды не может быть высокой из-за конкуренции на рынке. Минимальный размер оплаты труда, который сейчас составляет 19 242 рубля, может быть получен, но это не позволит жить комфортно. Если вы ориентируетесь на медианную заработную плату, превышающую 40 000 рублей, то вам потребуется сдавать в аренду несколько квартир, коммерческую недвижимость или более дорогие объекты.</w:t>
      </w:r>
    </w:p>
    <w:p w14:paraId="3F39177E" w14:textId="77777777" w:rsidR="00174B3A" w:rsidRPr="00D40509" w:rsidRDefault="00174B3A" w:rsidP="00174B3A">
      <w:r w:rsidRPr="00D40509">
        <w:t>Кроме того, сдача квартиры в аренду требует постоянного поддержания ее в хорошем состоянии, что может потребовать до 30 % дохода. Если у вас нет нескольких миллионов рублей, то пассивный доход от сдачи квартиры может быть недоступен.</w:t>
      </w:r>
    </w:p>
    <w:p w14:paraId="0C470C0D" w14:textId="77777777" w:rsidR="00174B3A" w:rsidRPr="00D40509" w:rsidRDefault="00174B3A" w:rsidP="00174B3A">
      <w:r w:rsidRPr="00D40509">
        <w:t>Однако альтернативой может быть инвестирование в машиноместо паркинга, которое способно приносить доход в примерно около 10 000 рублей ежемесячно.</w:t>
      </w:r>
    </w:p>
    <w:p w14:paraId="1CA608F2" w14:textId="77777777" w:rsidR="00174B3A" w:rsidRPr="00D40509" w:rsidRDefault="00174B3A" w:rsidP="00174B3A">
      <w:r w:rsidRPr="00D40509">
        <w:t>Депозит в банке</w:t>
      </w:r>
    </w:p>
    <w:p w14:paraId="28B1E490" w14:textId="77777777" w:rsidR="00174B3A" w:rsidRPr="00D40509" w:rsidRDefault="00174B3A" w:rsidP="00174B3A">
      <w:r w:rsidRPr="00D40509">
        <w:t>Один из способов получения пассивного дохода — это банковский вклад. В этом случае вы кладете деньги на депозит и получаете процент по нему. Однако этот способ не приносит большого дохода и не покрывает инфляцию.</w:t>
      </w:r>
    </w:p>
    <w:p w14:paraId="4B9A2813" w14:textId="77777777" w:rsidR="00174B3A" w:rsidRPr="00D40509" w:rsidRDefault="00174B3A" w:rsidP="00174B3A">
      <w:r w:rsidRPr="00D40509">
        <w:t>Например, год назад, в 2023 году, процент по депозиту в российских банках составлял около 10% годовых. Чтобы получать доход размером с минимальную заработную плату, необходимо вложить более 1,6 млн рублей. Для получения дохода, сопоставимого со средней заработной платой по России, потребуется вложить более 4 млн рублей. Кроме того, этот способ требует долгосрочных инвестиций, и есть риск потери денег в случае банкротства банка.</w:t>
      </w:r>
    </w:p>
    <w:p w14:paraId="740050D8" w14:textId="77777777" w:rsidR="00174B3A" w:rsidRPr="00D40509" w:rsidRDefault="00174B3A" w:rsidP="00174B3A">
      <w:r w:rsidRPr="00D40509">
        <w:t>Акции</w:t>
      </w:r>
    </w:p>
    <w:p w14:paraId="4B2A568B" w14:textId="77777777" w:rsidR="00174B3A" w:rsidRPr="00D40509" w:rsidRDefault="00174B3A" w:rsidP="00174B3A">
      <w:r w:rsidRPr="00D40509">
        <w:t>Акции могут приносить как активный, так и пассивный доход. Первый получается от покупки и продажи ценных бумаг, а второй — от получения дивидендов. Однако не все компании осуществляют выплаты.</w:t>
      </w:r>
    </w:p>
    <w:p w14:paraId="3246F7E0" w14:textId="77777777" w:rsidR="00174B3A" w:rsidRPr="00D40509" w:rsidRDefault="00174B3A" w:rsidP="00174B3A">
      <w:r w:rsidRPr="00D40509">
        <w:t xml:space="preserve">Для получения пассивного дохода стоит обратить внимание на акции крупных компаний с многомиллиардной капитализацией, таких как Сбербанк, </w:t>
      </w:r>
      <w:r w:rsidR="00D40509">
        <w:t>«</w:t>
      </w:r>
      <w:r w:rsidRPr="00D40509">
        <w:t>Газпром</w:t>
      </w:r>
      <w:r w:rsidR="00D40509">
        <w:t>»</w:t>
      </w:r>
      <w:r w:rsidRPr="00D40509">
        <w:t xml:space="preserve">, </w:t>
      </w:r>
      <w:r w:rsidR="00D40509">
        <w:t>«</w:t>
      </w:r>
      <w:r w:rsidRPr="00D40509">
        <w:t>Лукойл</w:t>
      </w:r>
      <w:r w:rsidR="00D40509">
        <w:t>»</w:t>
      </w:r>
      <w:r w:rsidRPr="00D40509">
        <w:t xml:space="preserve"> и другие. Однако даже эти компании могут не выплачивать дивиденды по различным причинам.</w:t>
      </w:r>
    </w:p>
    <w:p w14:paraId="67A01CFF" w14:textId="77777777" w:rsidR="00174B3A" w:rsidRPr="00D40509" w:rsidRDefault="00174B3A" w:rsidP="00174B3A">
      <w:r w:rsidRPr="00D40509">
        <w:t>Размер дивидендов зависит от дивидендной политики конкретной организации. Например, Сбербанк выплатил дивиденды в размере 10,6% от вложенной суммы за 2022 год (за 2023 год дивиденды пока не утверждены по состоянию на апрель 2024 года). Если бы вы вложили 100 000 рублей, то получили бы 10 600 рублей за год. Чем больше инвестиции, тем выше доход. Чтобы получать медианную заработную плату (480 000 рублей за год, 40 000 в месяц), необходимо было вложить около 4,6 млн рублей.</w:t>
      </w:r>
    </w:p>
    <w:p w14:paraId="04854D90" w14:textId="77777777" w:rsidR="00174B3A" w:rsidRPr="00D40509" w:rsidRDefault="00174B3A" w:rsidP="00174B3A">
      <w:r w:rsidRPr="00D40509">
        <w:t>Таким образом, этот способ получения пассивного дохода также требует значительных инвестиций. Кроме того, есть риски: акции могут упасть в цене, и дивиденды не смогут покрыть это падение, или выплаты могут быть отменены акционерами.</w:t>
      </w:r>
    </w:p>
    <w:p w14:paraId="08FD4882" w14:textId="77777777" w:rsidR="00174B3A" w:rsidRPr="00D40509" w:rsidRDefault="00174B3A" w:rsidP="00174B3A">
      <w:r w:rsidRPr="00D40509">
        <w:lastRenderedPageBreak/>
        <w:t>Облигации</w:t>
      </w:r>
    </w:p>
    <w:p w14:paraId="77D369BB" w14:textId="77777777" w:rsidR="00174B3A" w:rsidRPr="00D40509" w:rsidRDefault="00174B3A" w:rsidP="00174B3A">
      <w:r w:rsidRPr="00D40509">
        <w:t>Облигации представляют собой вариант получения дохода без особых усилий. По сравнению с акциями они считаются менее рискованными, поскольку обещают возврат всех вложенных средств (по крайней мере, до наступления дефолта). Наиболее надёжными являются государственные облигации, известные как облигации федерального займа (ОФЗ). Существует много их разновидностей.</w:t>
      </w:r>
    </w:p>
    <w:p w14:paraId="048C2838" w14:textId="77777777" w:rsidR="00174B3A" w:rsidRPr="00D40509" w:rsidRDefault="00174B3A" w:rsidP="00174B3A">
      <w:r w:rsidRPr="00D40509">
        <w:t>Стоит обратить внимание на ОФЗ-ИН — облигации федерального займа с индексируемым номиналом. Они помогают защитить капитал от инфляции путём индексации номинала. Однако у этих ценных бумаг есть один недостаток — низкая доходность: на сегодняшний день она составляет всего 3,9%.</w:t>
      </w:r>
    </w:p>
    <w:p w14:paraId="0FEF946F" w14:textId="77777777" w:rsidR="00174B3A" w:rsidRPr="00D40509" w:rsidRDefault="00174B3A" w:rsidP="00174B3A">
      <w:r w:rsidRPr="00D40509">
        <w:t>Чтобы получить минимальный размер оплаты труда за год (194 904 рубля), потребуется вложить около 5 миллионов рублей. Чтобы достичь хотя бы средней зарплаты (40 тысяч в месяц), придётся потратить 12,3 миллиона рублей. Это при условии самой высокой доходности — 3,9 %. Для ОФЗ с меньшей доходностью требуются ещё большие вложения.</w:t>
      </w:r>
    </w:p>
    <w:p w14:paraId="751E209E" w14:textId="77777777" w:rsidR="00174B3A" w:rsidRPr="00D40509" w:rsidRDefault="00174B3A" w:rsidP="00174B3A">
      <w:r w:rsidRPr="00D40509">
        <w:t>Существуют также более прибыльные корпоративные облигации, выпущенные компаниями, однако ситуация с ними аналогична ситуации с акциями.</w:t>
      </w:r>
    </w:p>
    <w:p w14:paraId="1FD63361" w14:textId="77777777" w:rsidR="00174B3A" w:rsidRPr="00D40509" w:rsidRDefault="00174B3A" w:rsidP="00174B3A">
      <w:r w:rsidRPr="00D40509">
        <w:t>Косвенные инвестиции</w:t>
      </w:r>
    </w:p>
    <w:p w14:paraId="777DCBF4" w14:textId="77777777" w:rsidR="00174B3A" w:rsidRPr="00D40509" w:rsidRDefault="00174B3A" w:rsidP="00174B3A">
      <w:r w:rsidRPr="00D40509">
        <w:t>Косвенные инвестиции — это все способы вложения денег, когда вы действуете не напрямую, а через посредников. Например, вы можете передать свои средства в управление инвестиционной компании. Она будет осуществлять сделки от вашего имени и получать процент от прибыли. Но здесь нет никаких гарантий: управляющий может потерять ваши деньги, и вы не получите никакой компенсации. При этом размер вложений может быть любым, так как доходность компаний непредсказуема. Этот вариант подходит для тех, кто имеет большой стартовый капитал и готов рисковать. Важно тщательно выбирать управляющую компанию и быть готовым к быстрым переменам в случае неудачи.</w:t>
      </w:r>
    </w:p>
    <w:p w14:paraId="300646EE" w14:textId="77777777" w:rsidR="00174B3A" w:rsidRPr="00D40509" w:rsidRDefault="00174B3A" w:rsidP="00174B3A">
      <w:r w:rsidRPr="00D40509">
        <w:t>Негосударственные пенсионные фонды</w:t>
      </w:r>
    </w:p>
    <w:p w14:paraId="7BDBD287" w14:textId="77777777" w:rsidR="00174B3A" w:rsidRPr="00D40509" w:rsidRDefault="00174B3A" w:rsidP="00174B3A">
      <w:r w:rsidRPr="00D40509">
        <w:t>Еще один вариант для инвестиций — это негосударственный пенсионный фонд. С 2024 года начала действовать программа долгосрочных сбережений. Согласно этой программе, вы можете получать до 36 000 рублей от государства ежегодно в течение десяти лет (возможно, этот срок будет продлен). Если вы будете вкладывать по 400 000 рублей каждый год, то можете рассчитывать на налоговый вычет до 52 000 рублей. Кроме того, 2,8 млн рублей ваших вкладов будут застрахованы.</w:t>
      </w:r>
    </w:p>
    <w:p w14:paraId="3B287C7B" w14:textId="77777777" w:rsidR="00174B3A" w:rsidRPr="00D40509" w:rsidRDefault="00174B3A" w:rsidP="00174B3A">
      <w:r w:rsidRPr="00D40509">
        <w:t>Доходность инвестиций в НПФ непредсказуема, как и у инвестиционных компаний. В прошлом году она составила в среднем 5,1 % по всем фондам. Однако благодаря доплате от государства (1+1, то есть +100 % к вложенному) схема выглядит так, что доходность НПФ в первые десять лет не будет иметь решающего значения. За это время есть надежда, что власти разрешат НПФ вкладываться в более доходные инструменты.</w:t>
      </w:r>
    </w:p>
    <w:p w14:paraId="1B3C42D8" w14:textId="77777777" w:rsidR="00174B3A" w:rsidRPr="00D40509" w:rsidRDefault="00174B3A" w:rsidP="00174B3A">
      <w:r w:rsidRPr="00D40509">
        <w:t>Краудфандинг</w:t>
      </w:r>
    </w:p>
    <w:p w14:paraId="71DD08DF" w14:textId="77777777" w:rsidR="00174B3A" w:rsidRPr="00D40509" w:rsidRDefault="00174B3A" w:rsidP="00174B3A">
      <w:r w:rsidRPr="00D40509">
        <w:t xml:space="preserve">Ещё один вариант — это краудфандинг. То есть, вы вкладываете деньги в чей-то бизнес, обычно это стартап, с целью получения прибыли в будущем. Такой способ </w:t>
      </w:r>
      <w:r w:rsidRPr="00D40509">
        <w:lastRenderedPageBreak/>
        <w:t>довольно рискованный, потому что сложно предсказать, какой проект станет успешным, а какой нет. Также нет никаких гарантий, что бизнес будет приносить доход. Сумма инвестиций может быть любой, но доход будет трудно спрогнозировать.</w:t>
      </w:r>
    </w:p>
    <w:p w14:paraId="47AA39E3" w14:textId="77777777" w:rsidR="00174B3A" w:rsidRPr="00D40509" w:rsidRDefault="00174B3A" w:rsidP="00174B3A">
      <w:r w:rsidRPr="00D40509">
        <w:t>Создание уникального продукта</w:t>
      </w:r>
    </w:p>
    <w:p w14:paraId="687BA270" w14:textId="77777777" w:rsidR="00174B3A" w:rsidRPr="00D40509" w:rsidRDefault="00174B3A" w:rsidP="00174B3A">
      <w:r w:rsidRPr="00D40509">
        <w:t>Что? Да! Вы можете создать что-то уникальное, например, написать книгу, снять фильм или придумать другой продукт, который будет приносить доход от продаж всю оставшуюся жизнь. Этот способ довольно сложный, потому что требуется не только талант, но и умение предугадывать желания аудитории. Начальным капиталом в данном случае будут являться ваше время и талант, а не деньги.</w:t>
      </w:r>
    </w:p>
    <w:p w14:paraId="6A138EE2" w14:textId="77777777" w:rsidR="00174B3A" w:rsidRPr="00D40509" w:rsidRDefault="00174B3A" w:rsidP="00174B3A">
      <w:r w:rsidRPr="00D40509">
        <w:t>Вывод</w:t>
      </w:r>
    </w:p>
    <w:p w14:paraId="0B5D5909" w14:textId="77777777" w:rsidR="00174B3A" w:rsidRPr="00D40509" w:rsidRDefault="00174B3A" w:rsidP="00174B3A">
      <w:r w:rsidRPr="00D40509">
        <w:t>Большинство предложенных вариантов показывают, что получение пассивного дохода в старости в России практически невозможно без значительных начальных инвестиций, исчисляемых миллионами рублей. Если у вас нет таких денег, то придётся искать другие способы заработка, такие как работа или торговля на бирже.</w:t>
      </w:r>
    </w:p>
    <w:p w14:paraId="172D5516" w14:textId="77777777" w:rsidR="00174B3A" w:rsidRPr="00D40509" w:rsidRDefault="00174B3A" w:rsidP="00174B3A">
      <w:hyperlink r:id="rId13" w:history="1">
        <w:r w:rsidRPr="00D40509">
          <w:rPr>
            <w:rStyle w:val="a3"/>
          </w:rPr>
          <w:t>https://pensiya.pro/lenivyj-zarabotok-vo-chto-nado-investirovat-dlya-passivnogo-dohoda-na-pensii/</w:t>
        </w:r>
      </w:hyperlink>
    </w:p>
    <w:p w14:paraId="65A56751" w14:textId="77777777" w:rsidR="00111D7C" w:rsidRPr="00D40509" w:rsidRDefault="00111D7C" w:rsidP="00111D7C">
      <w:pPr>
        <w:pStyle w:val="10"/>
      </w:pPr>
      <w:bookmarkStart w:id="42" w:name="_Toc165991073"/>
      <w:bookmarkStart w:id="43" w:name="_Toc99271691"/>
      <w:bookmarkStart w:id="44" w:name="_Toc99318654"/>
      <w:bookmarkStart w:id="45" w:name="_Toc99318783"/>
      <w:bookmarkStart w:id="46" w:name="_Toc396864672"/>
      <w:bookmarkStart w:id="47" w:name="_Toc183067284"/>
      <w:r w:rsidRPr="00D40509">
        <w:t>Программа долгосрочных сбережений</w:t>
      </w:r>
      <w:bookmarkEnd w:id="42"/>
      <w:bookmarkEnd w:id="47"/>
    </w:p>
    <w:p w14:paraId="15796A11" w14:textId="77777777" w:rsidR="00761B17" w:rsidRPr="00D40509" w:rsidRDefault="00761B17" w:rsidP="00761B17">
      <w:pPr>
        <w:pStyle w:val="2"/>
      </w:pPr>
      <w:bookmarkStart w:id="48" w:name="a4"/>
      <w:bookmarkStart w:id="49" w:name="_Hlk183066768"/>
      <w:bookmarkStart w:id="50" w:name="_Toc183067285"/>
      <w:bookmarkEnd w:id="48"/>
      <w:r w:rsidRPr="00D40509">
        <w:t>Известия, 20.11.2024, Эксперт спрогнозировал рост участников программы долгосрочных сбережений в РФ</w:t>
      </w:r>
      <w:bookmarkEnd w:id="50"/>
    </w:p>
    <w:p w14:paraId="6DE6C745" w14:textId="77777777" w:rsidR="00761B17" w:rsidRPr="00D40509" w:rsidRDefault="00761B17" w:rsidP="00EA17F3">
      <w:pPr>
        <w:pStyle w:val="3"/>
      </w:pPr>
      <w:bookmarkStart w:id="51" w:name="_Toc183067286"/>
      <w:r w:rsidRPr="00D40509">
        <w:t xml:space="preserve">В России спрогнозировали рост участников программы долгосрочных сбережений (ПДС). Об этом </w:t>
      </w:r>
      <w:r w:rsidR="00D40509">
        <w:t>«</w:t>
      </w:r>
      <w:r w:rsidRPr="00D40509">
        <w:t>Известиям</w:t>
      </w:r>
      <w:r w:rsidR="00D40509">
        <w:t>»</w:t>
      </w:r>
      <w:r w:rsidRPr="00D40509">
        <w:t xml:space="preserve"> рассказала 20 ноября эксперт негосударственного пенсионного фонда (НПФ) </w:t>
      </w:r>
      <w:r w:rsidR="00D40509">
        <w:t>«</w:t>
      </w:r>
      <w:r w:rsidRPr="00D40509">
        <w:t>Будущее</w:t>
      </w:r>
      <w:r w:rsidR="00D40509">
        <w:t>»</w:t>
      </w:r>
      <w:r w:rsidRPr="00D40509">
        <w:t xml:space="preserve"> Галина Морозова по итогам принятия Советом Федерации законопроекта о переносе срока подачи заявления о переводе средств пенсионных накоплений в НПФ в качестве единовременного взноса по ПДС.</w:t>
      </w:r>
      <w:bookmarkEnd w:id="51"/>
    </w:p>
    <w:p w14:paraId="49778BA4" w14:textId="77777777" w:rsidR="00761B17" w:rsidRPr="00D40509" w:rsidRDefault="00D40509" w:rsidP="00761B17">
      <w:r>
        <w:t>«</w:t>
      </w:r>
      <w:r w:rsidR="00761B17" w:rsidRPr="00D40509">
        <w:t>Если раньше гражданин мог подать заявление о переводе средств пенсионных накоплений в НПФ в качестве единовременного взноса по договору долгосрочных сбережений не позднее 1 декабря 2024 года, а отказаться от перевода не позднее 31 декабря, то теперь этот срок может сдвинуться еще на месяц. Таким образом, подать заявление о переводе средств в НПФ можно будет до 31 декабря, а отказаться от перевода — до 31 января 2025 года</w:t>
      </w:r>
      <w:r>
        <w:t>»</w:t>
      </w:r>
      <w:r w:rsidR="00761B17" w:rsidRPr="00D40509">
        <w:t>, — пояснила она.</w:t>
      </w:r>
    </w:p>
    <w:p w14:paraId="0A34E9E0" w14:textId="77777777" w:rsidR="00761B17" w:rsidRPr="00D40509" w:rsidRDefault="00761B17" w:rsidP="00761B17">
      <w:r w:rsidRPr="00D40509">
        <w:t xml:space="preserve">По ее словам, эта мера поможет простимулировать тех, кто еще раздумывает как над участием в программе, так и над переводом </w:t>
      </w:r>
      <w:r w:rsidR="00D40509">
        <w:t>«</w:t>
      </w:r>
      <w:r w:rsidRPr="00D40509">
        <w:t>замороженных</w:t>
      </w:r>
      <w:r w:rsidR="00D40509">
        <w:t>»</w:t>
      </w:r>
      <w:r w:rsidRPr="00D40509">
        <w:t xml:space="preserve"> пенсионных накоплений.</w:t>
      </w:r>
    </w:p>
    <w:p w14:paraId="2AFCDAF1" w14:textId="77777777" w:rsidR="00761B17" w:rsidRPr="00D40509" w:rsidRDefault="00D40509" w:rsidP="00761B17">
      <w:r>
        <w:t>«</w:t>
      </w:r>
      <w:r w:rsidR="00761B17" w:rsidRPr="00D40509">
        <w:t>А между тем эти накопления могут стать существенным взносом в программу, и пополняться как за счет личных взносов участника, так и государственного софинансирования</w:t>
      </w:r>
      <w:r>
        <w:t>»</w:t>
      </w:r>
      <w:r w:rsidR="00761B17" w:rsidRPr="00D40509">
        <w:t>, — отметила Морозова.</w:t>
      </w:r>
    </w:p>
    <w:p w14:paraId="41681B9A" w14:textId="77777777" w:rsidR="00761B17" w:rsidRPr="00D40509" w:rsidRDefault="00761B17" w:rsidP="00761B17">
      <w:r w:rsidRPr="00D40509">
        <w:t xml:space="preserve">Спикер добавила, что традиционно конец года является у россиян месяцем подведения итогов, в том числе и финансовых. Она ожидает, что в конце года участники </w:t>
      </w:r>
      <w:r w:rsidRPr="00D40509">
        <w:lastRenderedPageBreak/>
        <w:t>программы проявят большую активность, в том числе, и с целью получения максимального софинансирования от государства.</w:t>
      </w:r>
    </w:p>
    <w:p w14:paraId="51F7CACC" w14:textId="77777777" w:rsidR="00761B17" w:rsidRPr="00D40509" w:rsidRDefault="00761B17" w:rsidP="00761B17">
      <w:r w:rsidRPr="00D40509">
        <w:t>Ранее, 7 ноября, сообщалось, что в основном российские семьи хранят сбережения на вкладах в банках с государственным участием (47,4%) и в наличных (33,3%). Об этом сказано в исследовании Высшей школы экономики. Также россияне держат деньги в наличной валюте (4,6%), драгоценных металлах и изделиях из них (3,3%), акциях, облигациях и других ценных бумагах (2,7%), криптовалюте (2,2%).</w:t>
      </w:r>
    </w:p>
    <w:p w14:paraId="2A2BC482" w14:textId="77777777" w:rsidR="00761B17" w:rsidRPr="00D40509" w:rsidRDefault="00761B17" w:rsidP="00761B17">
      <w:hyperlink r:id="rId14" w:history="1">
        <w:r w:rsidRPr="00D40509">
          <w:rPr>
            <w:rStyle w:val="a3"/>
          </w:rPr>
          <w:t>https://iz.ru/1793970/2024-11-20/ekspert-sprognoziroval-rost-uchastnikov-programmy-dolgosrochnykh-sberezhenii-v-rf</w:t>
        </w:r>
      </w:hyperlink>
      <w:r w:rsidRPr="00D40509">
        <w:t xml:space="preserve"> </w:t>
      </w:r>
    </w:p>
    <w:p w14:paraId="6C1E853E" w14:textId="77777777" w:rsidR="00761B17" w:rsidRPr="00D40509" w:rsidRDefault="00761B17" w:rsidP="00761B17">
      <w:pPr>
        <w:pStyle w:val="2"/>
      </w:pPr>
      <w:bookmarkStart w:id="52" w:name="a5"/>
      <w:bookmarkStart w:id="53" w:name="_Toc183067287"/>
      <w:bookmarkEnd w:id="52"/>
      <w:r w:rsidRPr="00D40509">
        <w:t>ТАСС, 20.11.2024, СФ одобрил перенос срока перевода пенсионных накоплений в долгосрочные сбережения</w:t>
      </w:r>
      <w:bookmarkEnd w:id="53"/>
    </w:p>
    <w:p w14:paraId="69EA8971" w14:textId="77777777" w:rsidR="00761B17" w:rsidRPr="00D40509" w:rsidRDefault="00761B17" w:rsidP="00EA17F3">
      <w:pPr>
        <w:pStyle w:val="3"/>
      </w:pPr>
      <w:bookmarkStart w:id="54" w:name="_Toc183067288"/>
      <w:r w:rsidRPr="00D40509">
        <w:t>Совет Федерации одобрил на пленарном заседании нормы, предусматривающие перенос срока подачи заявления о переводе средств пенсионных накоплений в негосударственный пенсионный фонд (НПФ) в качестве единовременного взноса по договору долгосрочных сбережений. Нормы были оформлены как поправки ко второму чтению законопроекта о требованиях к квалифицированным инвесторам.</w:t>
      </w:r>
      <w:bookmarkEnd w:id="54"/>
    </w:p>
    <w:p w14:paraId="65A79FDF" w14:textId="77777777" w:rsidR="00761B17" w:rsidRPr="00D40509" w:rsidRDefault="00761B17" w:rsidP="00761B17">
      <w:r w:rsidRPr="00D40509">
        <w:t>Согласно действующему законодательству, гражданин может не позднее 1 декабря 2024 года подать заявление о переводе средств пенсионных накоплений в НПФ в качестве единовременного взноса по договору долгосрочных сбережений. Отказаться от перевода можно не позднее 31 декабря.</w:t>
      </w:r>
    </w:p>
    <w:p w14:paraId="6AAD1676" w14:textId="77777777" w:rsidR="00761B17" w:rsidRPr="00D40509" w:rsidRDefault="00761B17" w:rsidP="00761B17">
      <w:r w:rsidRPr="00D40509">
        <w:t>Принятым законом этот срок сдвигается на месяц: теперь подать заявление о переводе средств в НПФ можно до 31 декабря, а отказаться от перевода - до 31 января 2025 года.</w:t>
      </w:r>
    </w:p>
    <w:p w14:paraId="0D438EA7" w14:textId="77777777" w:rsidR="00761B17" w:rsidRPr="00D40509" w:rsidRDefault="00761B17" w:rsidP="00761B17">
      <w:r w:rsidRPr="00D40509">
        <w:t xml:space="preserve">Программа долгосрочных сбережений - новый сберегательный инструмент для граждан, который начал действовать в России с 1 января 2024 года. По договору долгосрочных сбережений вкладчик обязуется уплачивать сберегательные взносы в НПФ, а НПФ обязуется производить выплаты участнику при наступлении оснований для назначения таких выплат. Программа предусматривает государственное софинансирование взносов на протяжении 10 лет в размере до 36 тыс. рублей в год, а также право на налоговый вычет. Использовать накопленные средства можно через 15 лет или при достижении возраста 55 лет - для женщин и 60 лет - для мужчин. </w:t>
      </w:r>
    </w:p>
    <w:p w14:paraId="73C451B7" w14:textId="77777777" w:rsidR="00761B17" w:rsidRPr="00D40509" w:rsidRDefault="00761B17" w:rsidP="00761B17">
      <w:hyperlink r:id="rId15" w:history="1">
        <w:r w:rsidRPr="00D40509">
          <w:rPr>
            <w:rStyle w:val="a3"/>
          </w:rPr>
          <w:t>https://tass.ru/ekonomika/22451537</w:t>
        </w:r>
      </w:hyperlink>
      <w:r w:rsidRPr="00D40509">
        <w:t xml:space="preserve"> </w:t>
      </w:r>
    </w:p>
    <w:p w14:paraId="4D7FCA66" w14:textId="77777777" w:rsidR="00992F2C" w:rsidRPr="00D40509" w:rsidRDefault="00992F2C" w:rsidP="00992F2C">
      <w:pPr>
        <w:pStyle w:val="2"/>
      </w:pPr>
      <w:bookmarkStart w:id="55" w:name="a6"/>
      <w:bookmarkStart w:id="56" w:name="_Hlk183066828"/>
      <w:bookmarkStart w:id="57" w:name="_Toc183067289"/>
      <w:bookmarkEnd w:id="49"/>
      <w:bookmarkEnd w:id="55"/>
      <w:r w:rsidRPr="00D40509">
        <w:lastRenderedPageBreak/>
        <w:t xml:space="preserve">Лента.ru, 20.11.2024, В </w:t>
      </w:r>
      <w:r w:rsidR="00D40509">
        <w:t>«</w:t>
      </w:r>
      <w:r w:rsidRPr="00D40509">
        <w:t>СберНПФ</w:t>
      </w:r>
      <w:r w:rsidR="00D40509">
        <w:t>»</w:t>
      </w:r>
      <w:r w:rsidRPr="00D40509">
        <w:t xml:space="preserve"> назвали сумму размороженных россиянами средств накопительной пенсии</w:t>
      </w:r>
      <w:bookmarkEnd w:id="57"/>
    </w:p>
    <w:p w14:paraId="3A847AB4" w14:textId="77777777" w:rsidR="00992F2C" w:rsidRPr="00D40509" w:rsidRDefault="00992F2C" w:rsidP="00EA17F3">
      <w:pPr>
        <w:pStyle w:val="3"/>
      </w:pPr>
      <w:bookmarkStart w:id="58" w:name="_Toc183067290"/>
      <w:r w:rsidRPr="00D40509">
        <w:t xml:space="preserve">Россияне заявили к переводу в программу долгосрочных сбережений (ПДС) в </w:t>
      </w:r>
      <w:r w:rsidR="00D40509">
        <w:t>«</w:t>
      </w:r>
      <w:r w:rsidRPr="00D40509">
        <w:t>СберНПФ</w:t>
      </w:r>
      <w:r w:rsidR="00D40509">
        <w:t>»</w:t>
      </w:r>
      <w:r w:rsidRPr="00D40509">
        <w:t xml:space="preserve"> 48,1 миллиарда рублей средств накопительной пенсии. Так эти деньги уже в следующем году окажутся на личных ПДС-счетах в </w:t>
      </w:r>
      <w:r w:rsidR="00D40509">
        <w:t>«</w:t>
      </w:r>
      <w:r w:rsidRPr="00D40509">
        <w:t>СберНПФ</w:t>
      </w:r>
      <w:r w:rsidR="00D40509">
        <w:t>»</w:t>
      </w:r>
      <w:r w:rsidRPr="00D40509">
        <w:t xml:space="preserve">. На начало ноября 1,75 миллиона человек вступили в ПДС. При этом 1,3 миллиона из них формируют долгосрочные сбережения в </w:t>
      </w:r>
      <w:r w:rsidR="00D40509">
        <w:t>«</w:t>
      </w:r>
      <w:r w:rsidRPr="00D40509">
        <w:t>СберНПФ</w:t>
      </w:r>
      <w:r w:rsidR="00D40509">
        <w:t>»</w:t>
      </w:r>
      <w:r w:rsidRPr="00D40509">
        <w:t xml:space="preserve"> и уже суммарно вложили в программу 74,3 миллиарда рублей.</w:t>
      </w:r>
      <w:bookmarkEnd w:id="58"/>
    </w:p>
    <w:p w14:paraId="07642875" w14:textId="77777777" w:rsidR="00992F2C" w:rsidRPr="00D40509" w:rsidRDefault="00992F2C" w:rsidP="00992F2C">
      <w:r w:rsidRPr="00D40509">
        <w:t xml:space="preserve">Благодаря программе долгосрочных сбережений (ПДС) россияне копят с прибавкой от государства и налоговыми льготами. На ПДС-счет можно также перевести средства накопительной пенсии. Так сумма сбережений станет больше. Каждый пятый участник программы в </w:t>
      </w:r>
      <w:r w:rsidR="00D40509">
        <w:t>«</w:t>
      </w:r>
      <w:r w:rsidRPr="00D40509">
        <w:t>СберНПФ</w:t>
      </w:r>
      <w:r w:rsidR="00D40509">
        <w:t>»</w:t>
      </w:r>
      <w:r w:rsidRPr="00D40509">
        <w:t xml:space="preserve"> заявил к переводу на личный счет средства накопительной пенсии, причём на страховую пенсию это не повлияет: её выплатят с учетом баллов и стажа.</w:t>
      </w:r>
    </w:p>
    <w:p w14:paraId="2870B48C" w14:textId="77777777" w:rsidR="00992F2C" w:rsidRPr="00D40509" w:rsidRDefault="00D40509" w:rsidP="00992F2C">
      <w:r>
        <w:t>«</w:t>
      </w:r>
      <w:r w:rsidR="00992F2C" w:rsidRPr="00D40509">
        <w:t xml:space="preserve">Сегодня Совет Федерации одобрил закон, который на месяц продлит россиянам возможность </w:t>
      </w:r>
      <w:r>
        <w:t>«</w:t>
      </w:r>
      <w:r w:rsidR="00992F2C" w:rsidRPr="00D40509">
        <w:t>размораживать</w:t>
      </w:r>
      <w:r>
        <w:t>»</w:t>
      </w:r>
      <w:r w:rsidR="00992F2C" w:rsidRPr="00D40509">
        <w:t xml:space="preserve"> свои средства накопительной пенсии с помощью программы долгосрочных сбережений. Мы приветствуем данную инициативу, и рады, что теперь успеем помочь большему числу людей, которые захотят направить эти средства на личный счёт. Интерес россиян к программе подтверждает наша статистика: в октябре-ноябре россияне ежемесячно открывают 200 тыс. договоров ПДС в СберНПФ. Это вдвое больше аналогичного показателя третьего квартала</w:t>
      </w:r>
      <w:r>
        <w:t>»</w:t>
      </w:r>
      <w:r w:rsidR="00992F2C" w:rsidRPr="00D40509">
        <w:t xml:space="preserve">, — рассказал старший вице-президент, руководитель блока </w:t>
      </w:r>
      <w:r>
        <w:t>«</w:t>
      </w:r>
      <w:r w:rsidR="00992F2C" w:rsidRPr="00D40509">
        <w:t>Управление благосостоянием</w:t>
      </w:r>
      <w:r>
        <w:t>»</w:t>
      </w:r>
      <w:r w:rsidR="00992F2C" w:rsidRPr="00D40509">
        <w:t xml:space="preserve"> Сбербанка Руслан Вестеровский.</w:t>
      </w:r>
    </w:p>
    <w:p w14:paraId="06CB2080" w14:textId="77777777" w:rsidR="00992F2C" w:rsidRPr="00D40509" w:rsidRDefault="00992F2C" w:rsidP="00992F2C">
      <w:r w:rsidRPr="00D40509">
        <w:t>По словам Вестровского, россияне не только переводят в программу средства накопительной пенсии из государственной пенсионной системы, но и сами пополняют ПДС-счета, чтобы получить софинансирование от государства.</w:t>
      </w:r>
    </w:p>
    <w:p w14:paraId="39AA8679" w14:textId="77777777" w:rsidR="00992F2C" w:rsidRPr="00D40509" w:rsidRDefault="00D40509" w:rsidP="00992F2C">
      <w:r>
        <w:t>«</w:t>
      </w:r>
      <w:r w:rsidR="00992F2C" w:rsidRPr="00D40509">
        <w:t xml:space="preserve">Люди отправили в ПДС-копилки в </w:t>
      </w:r>
      <w:r>
        <w:t>«</w:t>
      </w:r>
      <w:r w:rsidR="00992F2C" w:rsidRPr="00D40509">
        <w:t>СберНПФ</w:t>
      </w:r>
      <w:r>
        <w:t>»</w:t>
      </w:r>
      <w:r w:rsidR="00992F2C" w:rsidRPr="00D40509">
        <w:t xml:space="preserve"> 26,2 миллиарда рублей собственных средств. Благодаря этому уже в 2025 году им поступит софинансирование от государства. Уверен, такой подход позволит комфортно сформировать личные сбережения и повысит финансовую стабильность</w:t>
      </w:r>
      <w:r>
        <w:t>»</w:t>
      </w:r>
      <w:r w:rsidR="00992F2C" w:rsidRPr="00D40509">
        <w:t>, — отметил топ-менеджер.</w:t>
      </w:r>
    </w:p>
    <w:p w14:paraId="5DF59DBB" w14:textId="77777777" w:rsidR="00992F2C" w:rsidRPr="00D40509" w:rsidRDefault="00992F2C" w:rsidP="00992F2C">
      <w:r w:rsidRPr="00D40509">
        <w:t>В рейтинге по количеству открытых ПДС-копилок лидируют Москва и Московская область (174 тысячи договоров), Санкт-Петербург и Ленинградская область (52 тысячи), Краснодарский край (50 тысяч), Пермский край (45 тысяч) и Нижегородская область (42 тысяч).</w:t>
      </w:r>
    </w:p>
    <w:p w14:paraId="32B0FD9B" w14:textId="77777777" w:rsidR="00992F2C" w:rsidRPr="00D40509" w:rsidRDefault="00992F2C" w:rsidP="00992F2C">
      <w:r w:rsidRPr="00D40509">
        <w:t xml:space="preserve">Участникам программы долгосрочных сбережений в </w:t>
      </w:r>
      <w:r w:rsidR="00D40509">
        <w:t>«</w:t>
      </w:r>
      <w:r w:rsidRPr="00D40509">
        <w:t>СберНПФ</w:t>
      </w:r>
      <w:r w:rsidR="00D40509">
        <w:t>»</w:t>
      </w:r>
      <w:r w:rsidRPr="00D40509">
        <w:t xml:space="preserve"> также доступен вклад </w:t>
      </w:r>
      <w:r w:rsidR="00D40509">
        <w:t>«</w:t>
      </w:r>
      <w:r w:rsidRPr="00D40509">
        <w:t>Забота о будущем</w:t>
      </w:r>
      <w:r w:rsidR="00D40509">
        <w:t>»</w:t>
      </w:r>
      <w:r w:rsidRPr="00D40509">
        <w:t xml:space="preserve"> под 25 процентов годовых. Повышенная ставка сработает только при пополнении программы. Если ее еще нет — можно открыть. Пополнить ПДС нужно на сумму вклада или больше. Минимальная сумма открытия вклада — 50 тысяч рублей. Оформить его можно в любом отделении Сбера.</w:t>
      </w:r>
    </w:p>
    <w:p w14:paraId="4AFDE1A6" w14:textId="77777777" w:rsidR="00992F2C" w:rsidRPr="00D40509" w:rsidRDefault="00992F2C" w:rsidP="00992F2C">
      <w:hyperlink r:id="rId16" w:history="1">
        <w:r w:rsidRPr="00D40509">
          <w:rPr>
            <w:rStyle w:val="a3"/>
          </w:rPr>
          <w:t>https://lenta.ru/news/2024/11/20/pensii/</w:t>
        </w:r>
      </w:hyperlink>
      <w:r w:rsidRPr="00D40509">
        <w:t xml:space="preserve"> </w:t>
      </w:r>
    </w:p>
    <w:p w14:paraId="08C67BF1" w14:textId="77777777" w:rsidR="00992F2C" w:rsidRPr="00D40509" w:rsidRDefault="00992F2C" w:rsidP="00992F2C">
      <w:pPr>
        <w:pStyle w:val="2"/>
      </w:pPr>
      <w:bookmarkStart w:id="59" w:name="_Toc183067291"/>
      <w:bookmarkEnd w:id="56"/>
      <w:r w:rsidRPr="00D40509">
        <w:lastRenderedPageBreak/>
        <w:t xml:space="preserve">Банки.ru, 20.11.2024, В </w:t>
      </w:r>
      <w:r w:rsidR="00D40509">
        <w:t>«</w:t>
      </w:r>
      <w:r w:rsidRPr="00D40509">
        <w:t>ВТБ Онлайн</w:t>
      </w:r>
      <w:r w:rsidR="00D40509">
        <w:t>»</w:t>
      </w:r>
      <w:r w:rsidRPr="00D40509">
        <w:t xml:space="preserve"> появилась возможность открыть вклад со ставкой до 30%</w:t>
      </w:r>
      <w:bookmarkEnd w:id="59"/>
    </w:p>
    <w:p w14:paraId="418D8FD6" w14:textId="77777777" w:rsidR="00992F2C" w:rsidRPr="00D40509" w:rsidRDefault="00992F2C" w:rsidP="00EA17F3">
      <w:pPr>
        <w:pStyle w:val="3"/>
      </w:pPr>
      <w:bookmarkStart w:id="60" w:name="_Toc183067292"/>
      <w:r w:rsidRPr="00D40509">
        <w:t xml:space="preserve">Участники программы долгосрочных сбережений НПФ ВТБ теперь могут открыть вклад </w:t>
      </w:r>
      <w:r w:rsidR="00D40509">
        <w:t>«</w:t>
      </w:r>
      <w:r w:rsidRPr="00D40509">
        <w:t>Двойная выгода</w:t>
      </w:r>
      <w:r w:rsidR="00D40509">
        <w:t>»</w:t>
      </w:r>
      <w:r w:rsidRPr="00D40509">
        <w:t xml:space="preserve"> со ставкой до 30% годовых через </w:t>
      </w:r>
      <w:r w:rsidR="00D40509">
        <w:t>«</w:t>
      </w:r>
      <w:r w:rsidRPr="00D40509">
        <w:t>ВТБ Онлайн</w:t>
      </w:r>
      <w:r w:rsidR="00D40509">
        <w:t>»</w:t>
      </w:r>
      <w:r w:rsidRPr="00D40509">
        <w:t xml:space="preserve"> — в мобильном приложении или веб-версии. Об этом сообщает пресс-служба кредитной организации.</w:t>
      </w:r>
      <w:bookmarkEnd w:id="60"/>
      <w:r w:rsidRPr="00D40509">
        <w:t xml:space="preserve"> </w:t>
      </w:r>
    </w:p>
    <w:p w14:paraId="6ED3E2ED" w14:textId="77777777" w:rsidR="00992F2C" w:rsidRPr="00D40509" w:rsidRDefault="00992F2C" w:rsidP="00992F2C">
      <w:r w:rsidRPr="00D40509">
        <w:t xml:space="preserve">Вклад доступен клиентам, которые стали участниками программы долгосрочных сбережений (ПДС) от НПФ ВТБ и сделали первый взнос на сумму от 30 тысяч рублей. При этом участие в программе долгосрочных сбережений также должно быть оформлено в </w:t>
      </w:r>
      <w:r w:rsidR="00D40509">
        <w:t>«</w:t>
      </w:r>
      <w:r w:rsidRPr="00D40509">
        <w:t>ВТБ Онлайн</w:t>
      </w:r>
      <w:r w:rsidR="00D40509">
        <w:t>»</w:t>
      </w:r>
      <w:r w:rsidRPr="00D40509">
        <w:t>. Открытие вклада доступно в течение 14 дней после вступления в ПДС.</w:t>
      </w:r>
    </w:p>
    <w:p w14:paraId="51B5844D" w14:textId="77777777" w:rsidR="00992F2C" w:rsidRPr="00D40509" w:rsidRDefault="00992F2C" w:rsidP="00992F2C">
      <w:r w:rsidRPr="00D40509">
        <w:t xml:space="preserve">Минимальная сумма депозита составляет 30 тысяч рублей, максимальная — не должна превышать сумму первоначального взноса в ПДС. Вклад можно открыть на срок три, шесть или 12 месяцев. Выплата процентов производится после окончания срока вклада, пролонгация, пополнения и снятия не предусмотрены. </w:t>
      </w:r>
    </w:p>
    <w:p w14:paraId="3BA14E85" w14:textId="77777777" w:rsidR="00992F2C" w:rsidRPr="00D40509" w:rsidRDefault="00992F2C" w:rsidP="00992F2C">
      <w:r w:rsidRPr="00D40509">
        <w:t xml:space="preserve">Ранее вклад </w:t>
      </w:r>
      <w:r w:rsidR="00D40509">
        <w:t>«</w:t>
      </w:r>
      <w:r w:rsidRPr="00D40509">
        <w:t>Двойная выгода</w:t>
      </w:r>
      <w:r w:rsidR="00D40509">
        <w:t>»</w:t>
      </w:r>
      <w:r w:rsidRPr="00D40509">
        <w:t xml:space="preserve"> можно было оформить только в отделении банка.</w:t>
      </w:r>
    </w:p>
    <w:p w14:paraId="364E2846" w14:textId="77777777" w:rsidR="00992F2C" w:rsidRPr="00D40509" w:rsidRDefault="00992F2C" w:rsidP="00992F2C">
      <w:hyperlink r:id="rId17" w:history="1">
        <w:r w:rsidRPr="00D40509">
          <w:rPr>
            <w:rStyle w:val="a3"/>
          </w:rPr>
          <w:t>https://www.banki.ru/news/lenta/?id=11008688</w:t>
        </w:r>
      </w:hyperlink>
      <w:r w:rsidRPr="00D40509">
        <w:t xml:space="preserve"> </w:t>
      </w:r>
    </w:p>
    <w:p w14:paraId="6F6BC4BE" w14:textId="77777777" w:rsidR="00525263" w:rsidRPr="00D40509" w:rsidRDefault="00525263" w:rsidP="00525263">
      <w:pPr>
        <w:pStyle w:val="2"/>
      </w:pPr>
      <w:bookmarkStart w:id="61" w:name="_Toc183067293"/>
      <w:r w:rsidRPr="00D40509">
        <w:t>SIA.ru, 20.11.2024, НПФ Альфа-Банка получил лицензию Банка России</w:t>
      </w:r>
      <w:bookmarkEnd w:id="61"/>
    </w:p>
    <w:p w14:paraId="14679986" w14:textId="77777777" w:rsidR="00525263" w:rsidRPr="00D40509" w:rsidRDefault="00525263" w:rsidP="00EA17F3">
      <w:pPr>
        <w:pStyle w:val="3"/>
      </w:pPr>
      <w:bookmarkStart w:id="62" w:name="_Toc183067294"/>
      <w:r w:rsidRPr="00D40509">
        <w:t xml:space="preserve">Негосударственный пенсионный фонд </w:t>
      </w:r>
      <w:r w:rsidR="00D40509">
        <w:t>«</w:t>
      </w:r>
      <w:r w:rsidRPr="00D40509">
        <w:t>Альфа</w:t>
      </w:r>
      <w:r w:rsidR="00D40509">
        <w:t>»</w:t>
      </w:r>
      <w:r w:rsidRPr="00D40509">
        <w:t xml:space="preserve"> получил лицензию Банка России на осуществление деятельности по пенсионному обеспечению и пенсионному страхованию. НПФ основан Альфа-Банком и страховой компанией </w:t>
      </w:r>
      <w:r w:rsidR="00D40509">
        <w:t>«</w:t>
      </w:r>
      <w:r w:rsidRPr="00D40509">
        <w:t>АльфаСтрахование-Жизнь</w:t>
      </w:r>
      <w:r w:rsidR="00D40509">
        <w:t>»</w:t>
      </w:r>
      <w:r w:rsidRPr="00D40509">
        <w:t>. Создание фонда связано с запуском программы долгосрочных сбережений — нового накопительного инструмента с государственной поддержкой.</w:t>
      </w:r>
      <w:bookmarkEnd w:id="62"/>
    </w:p>
    <w:p w14:paraId="65795DC1" w14:textId="77777777" w:rsidR="00525263" w:rsidRPr="00D40509" w:rsidRDefault="00D40509" w:rsidP="00525263">
      <w:r>
        <w:t>«</w:t>
      </w:r>
      <w:r w:rsidR="00525263" w:rsidRPr="00D40509">
        <w:t>Программа долгосрочных сбережений стала стимулом для развития рынка и способствовала появлению новых фондов впервые за несколько лет. Это правильный тренд, условие здоровой конкуренции, которое приводит к появлению лучших для клиента решений. Компетенции и экспертиза команды нашего фонда делают его серьезным и конкурентным игроком на рынке</w:t>
      </w:r>
      <w:r>
        <w:t>»</w:t>
      </w:r>
      <w:r w:rsidR="00525263" w:rsidRPr="00D40509">
        <w:t>, — отметила Лариса Горчаковская, генеральный директор Альфа НПФ.</w:t>
      </w:r>
    </w:p>
    <w:p w14:paraId="7C0E982A" w14:textId="77777777" w:rsidR="00525263" w:rsidRPr="00D40509" w:rsidRDefault="00525263" w:rsidP="00525263">
      <w:r w:rsidRPr="00D40509">
        <w:t>Программа долгосрочных сбережений позволяет формировать капитал на любые цели. Это надежный способ разработать инвестиционную стратегию, накопить на семейные нужды и увеличить пенсионные выплаты.</w:t>
      </w:r>
    </w:p>
    <w:p w14:paraId="56F08868" w14:textId="77777777" w:rsidR="00525263" w:rsidRPr="00D40509" w:rsidRDefault="00525263" w:rsidP="00525263">
      <w:r w:rsidRPr="00D40509">
        <w:t>Каждый участник программы может рассчитывать на защиту сбережений в Агентстве страхования вкладов, дополнительные взносы от государства до 360 000 рублей и налоговый вычет.</w:t>
      </w:r>
    </w:p>
    <w:p w14:paraId="64ADCF14" w14:textId="77777777" w:rsidR="00525263" w:rsidRPr="00D40509" w:rsidRDefault="00525263" w:rsidP="00525263">
      <w:r w:rsidRPr="00D40509">
        <w:t xml:space="preserve">Ранее стало известно, что объем средств граждан, вложенных в программу долгосрочных сбережений (ПДС), достиг 60 млрд рублей. По мнению директора департамента финансовой политики Минфина Алексея Яковлева, такие значения достигнуты не в последнюю очередь благодаря гарантии сохранности средств при </w:t>
      </w:r>
      <w:r w:rsidRPr="00D40509">
        <w:lastRenderedPageBreak/>
        <w:t>банкротстве НПФ, софинансированию сбережений и налоговым льготам. При этом в скором времени планируется ввести еще несколько стимулов.</w:t>
      </w:r>
    </w:p>
    <w:p w14:paraId="7AEE0F2C" w14:textId="77777777" w:rsidR="00111D7C" w:rsidRPr="00D40509" w:rsidRDefault="00525263" w:rsidP="00525263">
      <w:hyperlink r:id="rId18" w:history="1">
        <w:r w:rsidRPr="00D40509">
          <w:rPr>
            <w:rStyle w:val="a3"/>
          </w:rPr>
          <w:t>https://sia.ru/?section=484&amp;action=show_news&amp;id=16809522</w:t>
        </w:r>
      </w:hyperlink>
    </w:p>
    <w:p w14:paraId="19C9142E" w14:textId="77777777" w:rsidR="00761B17" w:rsidRPr="00D40509" w:rsidRDefault="00761B17" w:rsidP="00761B17">
      <w:pPr>
        <w:pStyle w:val="2"/>
      </w:pPr>
      <w:bookmarkStart w:id="63" w:name="_Toc183067295"/>
      <w:r w:rsidRPr="00D40509">
        <w:t>АиФ - Самара, 20.11.2024, В Самаре растет число участников программы долгосрочных сбережений</w:t>
      </w:r>
      <w:bookmarkEnd w:id="63"/>
      <w:r w:rsidRPr="00D40509">
        <w:t xml:space="preserve"> </w:t>
      </w:r>
    </w:p>
    <w:p w14:paraId="5217F2AA" w14:textId="77777777" w:rsidR="00761B17" w:rsidRPr="00D40509" w:rsidRDefault="00761B17" w:rsidP="00EA17F3">
      <w:pPr>
        <w:pStyle w:val="3"/>
      </w:pPr>
      <w:bookmarkStart w:id="64" w:name="_Toc183067296"/>
      <w:r w:rsidRPr="00D40509">
        <w:t xml:space="preserve">Более 30 тысяч договоров по программе долгосрочных сбережений заключили жители Самарской области по данным на конец сентября. Такие данные прозвучали в ходе круглого стола на тему </w:t>
      </w:r>
      <w:r w:rsidR="00D40509">
        <w:t>«</w:t>
      </w:r>
      <w:r w:rsidRPr="00D40509">
        <w:t>Привычка копить: какие инструменты помогают создать финансовую подушку безопасности</w:t>
      </w:r>
      <w:r w:rsidR="00D40509">
        <w:t>»</w:t>
      </w:r>
      <w:r w:rsidRPr="00D40509">
        <w:t>. Эксперты полагают, что интерес к программе будет расти за счет выгодных условий накопления, одно из которых — софинансирование со стороны государства.</w:t>
      </w:r>
      <w:bookmarkEnd w:id="64"/>
    </w:p>
    <w:p w14:paraId="7BC5484F" w14:textId="77777777" w:rsidR="00761B17" w:rsidRPr="00D40509" w:rsidRDefault="00761B17" w:rsidP="00761B17">
      <w:r w:rsidRPr="00D40509">
        <w:t>Программа долгосрочных сбережений (ПДС) заработала по поручению Президента Владимира Путина с начала 2024 года. Вступить в нее может любой гражданин РФ старше 18 лет. Для этого ему нужно заключить договор с негосударственным пенсионным фондом (НПФ) из числа операторов программы. Программа позволяет копить на дополнительную пенсию или крупные покупки, получать софинансирование государства, налоговые вычеты.</w:t>
      </w:r>
    </w:p>
    <w:p w14:paraId="5A73F5C2" w14:textId="77777777" w:rsidR="00761B17" w:rsidRPr="00D40509" w:rsidRDefault="00761B17" w:rsidP="00761B17">
      <w:r w:rsidRPr="00D40509">
        <w:t xml:space="preserve">Умение копить на будущее – одна из привычек финансово грамотного человека. Как рассказала представитель министерства управления финансами Самарской области Елена Ладыженко со ссылкой на данные Национального агентства финансовых исследований, уровень финансовой грамотности жителей страны постоянно растет. Сейчас высоким и средним уровнем финансовой грамотности обладает 70% граждан и по сравнению с показателями прошлых лет наблюдается значительное его увеличение. </w:t>
      </w:r>
      <w:r w:rsidR="00D40509">
        <w:t>«</w:t>
      </w:r>
      <w:r w:rsidRPr="00D40509">
        <w:t>Возросло участие государства, которое очень активно проводит мероприятия, направленные, как на повышение уровня финансовой грамотности взрослых и детей, так и на благосостояние населения в целом. Также растет интерес граждан к накоплениям, инвестированию в будущее, — говорит представитель министерства управления финансами Самарской области Елена Ладыженко. — Особенность ПДС заключается в том, что государство будет софинансировать вложения граждан, средства будут инвестироваться негосударственными пенсионными фондами в низкорискованные активы и при этом будут застрахованы до 2,8 млн рублей, что дает гарантию надежности</w:t>
      </w:r>
      <w:r w:rsidR="00D40509">
        <w:t>»</w:t>
      </w:r>
      <w:r w:rsidRPr="00D40509">
        <w:t>.</w:t>
      </w:r>
    </w:p>
    <w:p w14:paraId="2DA80572" w14:textId="77777777" w:rsidR="00761B17" w:rsidRPr="00D40509" w:rsidRDefault="00761B17" w:rsidP="00761B17">
      <w:r w:rsidRPr="00D40509">
        <w:t xml:space="preserve">По поручению Президента срок софинанирования участия в ПДС со стороны государства был увеличен с 3 до 10 лет. Теперь все участники программы могут получать до 36 тысяч рублей в год от государства на протяжении всего этого периода, при условии, что внесут в программу не менее 2000 рублей в год. Также надо учитывать, что уровень софинансирования зависит от дохода человека, который вступает в программу. Так, если среднемесячный доход гражданина составляет до 80 тыс. рублей, государство софинансирует один рубль на каждый рубль вложений. Если доход от 80 тыс. рублей до 150 тыс. рублей, государство добавит один рубль на каждые два рубля участника программы. У жителей, доход которых превышает 150 тыс. рублей, софинансирование будет один рубль к четырем рублям вложений гражданина. Все накопления по программе наследуются. Исключение составляют ситуации, когда </w:t>
      </w:r>
      <w:r w:rsidRPr="00D40509">
        <w:lastRenderedPageBreak/>
        <w:t>гражданину уже назначена пожизненная выплата по программе долгосрочных сбережений.</w:t>
      </w:r>
    </w:p>
    <w:p w14:paraId="21E5A475" w14:textId="77777777" w:rsidR="00761B17" w:rsidRPr="00D40509" w:rsidRDefault="00761B17" w:rsidP="00761B17">
      <w:r w:rsidRPr="00D40509">
        <w:t>Все НПФ поднадзорны Банку России. Список организаций-операторов программы можно найти на сайте регулятора. К ним предъявляют жесткие требования по финансовой устойчивости, по составу и структуре портфелей. Также НПФ проходят регулярные стресс-тесты. По их результатам Банк России оценивает, достаточно ли активов у НПФ для того, чтобы исполнить взятые на себя обязательства. Еще одна независимая организация – специализированный депозитарий – непрерывно следит за целевым распоряжением средств и соблюдением требований по их инвестированию.</w:t>
      </w:r>
    </w:p>
    <w:p w14:paraId="01E2DF45" w14:textId="77777777" w:rsidR="00761B17" w:rsidRPr="00D40509" w:rsidRDefault="00D40509" w:rsidP="00761B17">
      <w:r>
        <w:t>«</w:t>
      </w:r>
      <w:r w:rsidR="00761B17" w:rsidRPr="00D40509">
        <w:t>Предполагается, что деньги граждан будут инвестированы на принципах безубыточности. НПФ должны инвестировать средства своих клиентов только в финансовые инструменты, обладающие наилучшим соотношением между ожидаемой доходностью и рисками. В первую очередь в консервативные финансовые инструменты: в облигации федерального займа (ОФЗ), корпоративные облигации, акции, инфраструктурные проекты. При выборе НПФ для размещения денежных средств нужно изучить инвестиционные декларации организации. В них указано, какие виды активов и в какой пропорции входят в портфель фонда по программе долгосрочных сбережений. Если фонд будет инвестировать неудачно и получит убыток, он будет обязан покрыть потери за счет собственных средств</w:t>
      </w:r>
      <w:r>
        <w:t>»</w:t>
      </w:r>
      <w:r w:rsidR="00761B17" w:rsidRPr="00D40509">
        <w:t>, — отметил заместитель управляющего Отделением Самара Волго-Вятского ГУ Банка России Василий Гордеев.</w:t>
      </w:r>
    </w:p>
    <w:p w14:paraId="779C0778" w14:textId="77777777" w:rsidR="00525263" w:rsidRPr="00D40509" w:rsidRDefault="00761B17" w:rsidP="00761B17">
      <w:hyperlink r:id="rId19" w:history="1">
        <w:r w:rsidRPr="00D40509">
          <w:rPr>
            <w:rStyle w:val="a3"/>
          </w:rPr>
          <w:t>https://samara.aif.ru/politic/person/v-samare-rastet-chislo-uchastnikov-programmy-dolgosrochnyh-sberezheniy</w:t>
        </w:r>
      </w:hyperlink>
    </w:p>
    <w:p w14:paraId="37D789A6" w14:textId="77777777" w:rsidR="005851C9" w:rsidRPr="00D40509" w:rsidRDefault="005851C9" w:rsidP="005851C9"/>
    <w:p w14:paraId="62C863DE" w14:textId="77777777" w:rsidR="00111D7C" w:rsidRPr="00D40509" w:rsidRDefault="00111D7C" w:rsidP="00111D7C">
      <w:pPr>
        <w:pStyle w:val="10"/>
      </w:pPr>
      <w:bookmarkStart w:id="65" w:name="_Toc165991074"/>
      <w:bookmarkStart w:id="66" w:name="_Toc183067297"/>
      <w:r w:rsidRPr="00D40509">
        <w:t>Новости развития системы обязательного пенсионного страхования и страховой пенсии</w:t>
      </w:r>
      <w:bookmarkEnd w:id="43"/>
      <w:bookmarkEnd w:id="44"/>
      <w:bookmarkEnd w:id="45"/>
      <w:bookmarkEnd w:id="65"/>
      <w:bookmarkEnd w:id="66"/>
    </w:p>
    <w:p w14:paraId="3CAC2F30" w14:textId="77777777" w:rsidR="00A2243E" w:rsidRPr="00D40509" w:rsidRDefault="00A2243E" w:rsidP="00A2243E">
      <w:pPr>
        <w:pStyle w:val="2"/>
      </w:pPr>
      <w:bookmarkStart w:id="67" w:name="a7"/>
      <w:bookmarkStart w:id="68" w:name="_Toc183067298"/>
      <w:bookmarkEnd w:id="67"/>
      <w:r w:rsidRPr="00D40509">
        <w:t>Российская газета, 19.11.2024, Юрист Русяев: Старение населения должно стать ресурсом для общества и экономики</w:t>
      </w:r>
      <w:bookmarkEnd w:id="68"/>
    </w:p>
    <w:p w14:paraId="349B21B9" w14:textId="77777777" w:rsidR="00A2243E" w:rsidRPr="00D40509" w:rsidRDefault="00A2243E" w:rsidP="00EA17F3">
      <w:pPr>
        <w:pStyle w:val="3"/>
      </w:pPr>
      <w:bookmarkStart w:id="69" w:name="_Toc183067299"/>
      <w:r w:rsidRPr="00D40509">
        <w:t>По данным Минтруда, доля граждан старше 55 лет в 2024 году достигла 30%, что является максимальным показателем в современной истории. Об этом говорится в Стратегии действий в интересах граждан старшего поколения, которую разработал и представил на общественное обсуждение Минтруд.</w:t>
      </w:r>
      <w:bookmarkEnd w:id="69"/>
    </w:p>
    <w:p w14:paraId="3E699584" w14:textId="77777777" w:rsidR="00A2243E" w:rsidRPr="00D40509" w:rsidRDefault="00A2243E" w:rsidP="00A2243E">
      <w:r w:rsidRPr="00D40509">
        <w:t xml:space="preserve">По мнению экспертов, опрошенных </w:t>
      </w:r>
      <w:r w:rsidR="00D40509">
        <w:t>«</w:t>
      </w:r>
      <w:r w:rsidRPr="00D40509">
        <w:t>РГ</w:t>
      </w:r>
      <w:r w:rsidR="00D40509">
        <w:t>»</w:t>
      </w:r>
      <w:r w:rsidRPr="00D40509">
        <w:t>, основной вызов заключается в том, чтобы трансформировать процесс старения населения из демографической проблемы в ресурс для общества и экономики.</w:t>
      </w:r>
    </w:p>
    <w:p w14:paraId="7399C496" w14:textId="77777777" w:rsidR="00A2243E" w:rsidRPr="00D40509" w:rsidRDefault="00A2243E" w:rsidP="00A2243E">
      <w:r w:rsidRPr="00D40509">
        <w:t xml:space="preserve">В самой стратегии, в частности, отмечается, что современное социально-экономическое развитие страны сопровождается постепенным старением населения, выражающимся в увеличении абсолютной численности и доли граждан старшего поколения. Если на </w:t>
      </w:r>
      <w:r w:rsidRPr="00D40509">
        <w:lastRenderedPageBreak/>
        <w:t>начало 1990 года доля граждан 55 лет и старше составляла 21,1 процента, то в 2015 году - уже 27,3 процента, в 2020 году - 29,4 процента, а в 2024 году - 30 процентов.</w:t>
      </w:r>
    </w:p>
    <w:p w14:paraId="6D17B450" w14:textId="77777777" w:rsidR="00A2243E" w:rsidRPr="00D40509" w:rsidRDefault="00A2243E" w:rsidP="00A2243E">
      <w:r w:rsidRPr="00D40509">
        <w:t>До 2019 года наблюдалось увеличение абсолютной численности граждан старше трудоспособного возраста: с 1 января 2016 года по 1 января 2019 года численность данной возрастной группы выросла с 36 миллионов человек до 38,2 миллиона человек. Постепенное повышение пенсионного возраста с января 2019 года и пандемия коронавируса временно прервали этот тренд, и на 1 января 2024 года численность граждан старше трудоспособного возраста составила 34,6 миллиона человек.</w:t>
      </w:r>
    </w:p>
    <w:p w14:paraId="416D4AC9" w14:textId="77777777" w:rsidR="00A2243E" w:rsidRPr="00D40509" w:rsidRDefault="00A2243E" w:rsidP="00A2243E">
      <w:r w:rsidRPr="00D40509">
        <w:t>Аналогичная динамика характерна и для доли граждан старше трудоспособного возраста в населении страны: наблюдалось увеличение значений этого показателя с 24,5 процента в 2016 году до 25,8 процента в 2019 году, затем снижение до 23,7 процента на начало 2024 года.</w:t>
      </w:r>
    </w:p>
    <w:p w14:paraId="18DAE640" w14:textId="77777777" w:rsidR="00A2243E" w:rsidRPr="00D40509" w:rsidRDefault="00A2243E" w:rsidP="00A2243E">
      <w:r w:rsidRPr="00D40509">
        <w:t>По данным среднего варианта прогноза Росстата, с учетом продолжающегося повышения пенсионного возраста к 2030 году доля граждан старше трудоспособного возраста в России снизится до 23 процентов, а численность граждан старше трудоспособного возраста сократится до 32,9 миллиона человек.</w:t>
      </w:r>
    </w:p>
    <w:p w14:paraId="20BFE7F0" w14:textId="77777777" w:rsidR="00A2243E" w:rsidRPr="00D40509" w:rsidRDefault="00A2243E" w:rsidP="00A2243E">
      <w:r w:rsidRPr="00D40509">
        <w:t>При этом сохраняется гендерная диспропорция в населении старших возрастов: на начало 2024 года на 1000 мужчин в возрасте 65 лет и старше приходилось 1869 женщин в возрасте 65 лет и старше. Как следствие, в населении старших возрастов высока доля одиноко проживающих женщин.</w:t>
      </w:r>
    </w:p>
    <w:p w14:paraId="7D31AEFC" w14:textId="77777777" w:rsidR="00A2243E" w:rsidRPr="00D40509" w:rsidRDefault="00A2243E" w:rsidP="00A2243E">
      <w:r w:rsidRPr="00D40509">
        <w:t>Растет ожидаемая продолжительность жизни при рождении - с 71,87 года в 2016 году до 73,41 года в 2023 году. Обозначенная тенденция была сдержана коронавирусной пандемией, в ходе которой данный показатель снижался более чем на 3 года, но с 2022 года начался новый этап роста.</w:t>
      </w:r>
    </w:p>
    <w:p w14:paraId="761300B7" w14:textId="77777777" w:rsidR="00A2243E" w:rsidRPr="00D40509" w:rsidRDefault="00A2243E" w:rsidP="00A2243E">
      <w:r w:rsidRPr="00D40509">
        <w:t>Ожидаемая продолжительность жизни в возрасте 60 лет также растет, хотя снижалась в период пандемии: за 2016-2019 годы она выросла у мужчин с 16,1 года до 16,9 года, а у женщин - с 21,6 до 22,2 года, затем сокращалась в 2020-2021 годы и достигла в 2022 году 16,7 года у мужчин и 21,9 года у женщин.</w:t>
      </w:r>
    </w:p>
    <w:p w14:paraId="520F6065" w14:textId="77777777" w:rsidR="00A2243E" w:rsidRPr="00D40509" w:rsidRDefault="00D40509" w:rsidP="00A2243E">
      <w:r>
        <w:t>«</w:t>
      </w:r>
      <w:r w:rsidR="00A2243E" w:rsidRPr="00D40509">
        <w:t>В связи со старением населения в Российской Федерации увеличивается демографическая нагрузка на население трудоспособного возраста. Если в 2016 году на 1000 человек трудоспособного возраста приходилось 413 человек старше трудоспособного возраста, то на начало 2024 года - 471 человек</w:t>
      </w:r>
      <w:r>
        <w:t>»</w:t>
      </w:r>
      <w:r w:rsidR="00A2243E" w:rsidRPr="00D40509">
        <w:t>, - отмечается в стратегии.</w:t>
      </w:r>
    </w:p>
    <w:p w14:paraId="32F1DC88" w14:textId="77777777" w:rsidR="00A2243E" w:rsidRPr="00D40509" w:rsidRDefault="00A2243E" w:rsidP="00A2243E">
      <w:r w:rsidRPr="00D40509">
        <w:t>Основной вызов заключается в том, чтобы трансформировать процесс старения населения из демографической проблемы в ресурс для общества и экономики</w:t>
      </w:r>
    </w:p>
    <w:p w14:paraId="03A61F15" w14:textId="77777777" w:rsidR="00A2243E" w:rsidRPr="00D40509" w:rsidRDefault="00D40509" w:rsidP="00A2243E">
      <w:r>
        <w:t>«</w:t>
      </w:r>
      <w:r w:rsidR="00A2243E" w:rsidRPr="00D40509">
        <w:t>Стратегия действий в интересах граждан старшего поколения, представленная Минтрудом России, представляет собой ответ на значительные демографические изменения, оказывающие важное воздействие на социально-экономическую динамику страны. Подчеркивается необходимость адаптации социальной политики и экономической структуры к быстрому увеличению числа пожилых граждан. Делается акцент на разработке системных мер поддержки стареющего населения, в том числе - экономической нагрузки на трудоспособное население, подчеркивая необходимость сохранения экономической стабильности и уровня жизни для всех возрастных групп</w:t>
      </w:r>
      <w:r>
        <w:t>»</w:t>
      </w:r>
      <w:r w:rsidR="00A2243E" w:rsidRPr="00D40509">
        <w:t xml:space="preserve">, - </w:t>
      </w:r>
      <w:r w:rsidR="00A2243E" w:rsidRPr="00D40509">
        <w:lastRenderedPageBreak/>
        <w:t xml:space="preserve">отметил депутат Госдумы (фракция </w:t>
      </w:r>
      <w:r>
        <w:t>«</w:t>
      </w:r>
      <w:r w:rsidR="00A2243E" w:rsidRPr="00D40509">
        <w:t>Единая Россия</w:t>
      </w:r>
      <w:r>
        <w:t>»</w:t>
      </w:r>
      <w:r w:rsidR="00A2243E" w:rsidRPr="00D40509">
        <w:t>), член комитета по бюджету и налогам Никита Чаплин.</w:t>
      </w:r>
    </w:p>
    <w:p w14:paraId="17031BA8" w14:textId="77777777" w:rsidR="00A2243E" w:rsidRPr="00D40509" w:rsidRDefault="00D40509" w:rsidP="00A2243E">
      <w:r>
        <w:t>«</w:t>
      </w:r>
      <w:r w:rsidR="00A2243E" w:rsidRPr="00D40509">
        <w:t>Важнейшая составляющая стратегии - это пенсионная реформа, учитывающая влияние повышения пенсионного возраста и пандемии COVID-19. Также документ обращает внимание на гендерные диспропорции среди старшего населения, требующие дополнительных мер для обеспечения здоровья и благополучия пожилых женщин. Увеличение продолжительности жизни - это позитивный фактор, который требует расширения ресурсов для поддержания здоровья и благополучия пожилых граждан. В конечном итоге успех реализации этой стратегии будет зависеть от эффективной межведомственной координации, а также активного вовлечения общественных организаций и системной работы на местах рядом с людьми</w:t>
      </w:r>
      <w:r>
        <w:t>»</w:t>
      </w:r>
      <w:r w:rsidR="00A2243E" w:rsidRPr="00D40509">
        <w:t>, - продолжил депутат.</w:t>
      </w:r>
    </w:p>
    <w:p w14:paraId="6D48CA41" w14:textId="77777777" w:rsidR="00A2243E" w:rsidRPr="00D40509" w:rsidRDefault="00A2243E" w:rsidP="00A2243E">
      <w:r w:rsidRPr="00D40509">
        <w:t xml:space="preserve">Он добавил: выполнение стратегии принесет стране стабильное социально-экономическое развитие в условиях демографических изменений, обеспечивая достойную жизнь пожилым гражданам и устойчивость всей социальной структуры. </w:t>
      </w:r>
      <w:r w:rsidR="00D40509">
        <w:t>«</w:t>
      </w:r>
      <w:r w:rsidRPr="00D40509">
        <w:t>Однако важно отметить, что помощь должна быть по теории одного рукопожатия, а не из кабинетов. Нужна большая личная работа с людьми</w:t>
      </w:r>
      <w:r w:rsidR="00D40509">
        <w:t>»</w:t>
      </w:r>
      <w:r w:rsidRPr="00D40509">
        <w:t>, - считает депутат Чаплин.</w:t>
      </w:r>
    </w:p>
    <w:p w14:paraId="1C8411BB" w14:textId="77777777" w:rsidR="00A2243E" w:rsidRPr="00D40509" w:rsidRDefault="00A2243E" w:rsidP="00A2243E">
      <w:r w:rsidRPr="00D40509">
        <w:t xml:space="preserve">Управляющий партнер компании </w:t>
      </w:r>
      <w:r w:rsidR="00D40509">
        <w:t>«</w:t>
      </w:r>
      <w:r w:rsidRPr="00D40509">
        <w:t>Русяев и партнеры</w:t>
      </w:r>
      <w:r w:rsidR="00D40509">
        <w:t>»</w:t>
      </w:r>
      <w:r w:rsidRPr="00D40509">
        <w:t xml:space="preserve">, юрист Илья Русяев подчеркивает: </w:t>
      </w:r>
      <w:r w:rsidR="00D40509">
        <w:t>«</w:t>
      </w:r>
      <w:r w:rsidRPr="00D40509">
        <w:t>Старение населения в России характеризуется увеличением доли пожилых людей и сокращением численности трудоспособного населения. Демографическая нагрузка на трудоспособное население растет. На 1 тыс. человек трудоспособного возраста в 2024 году приходится 471 пожилой человек, тогда как в 2016 году этот показатель составлял 413. Это создает серьезные вызовы для социальной и экономической систем, включая обеспечение пенсий, медицинской помощи и социальных услуг. Задействование пожилых людей в экономике становится ключевым направлением политики. Согласно прогнозам ОЭСР, к 2050 году один из шести работников в мире будет старше 65 лет. В России уже ведется работа по повышению занятости среди старших возрастных групп: в 2023 году профессиональное обучение прошли более 69 тыс. граждан старше 50 лет, из которых 58,5 тыс. были трудоустроены. Однако масштабы таких программ остаются ограниченными, и лишь небольшой процент пожилых людей активно участвует в экономической жизни</w:t>
      </w:r>
      <w:r w:rsidR="00D40509">
        <w:t>»</w:t>
      </w:r>
      <w:r w:rsidRPr="00D40509">
        <w:t>.</w:t>
      </w:r>
    </w:p>
    <w:p w14:paraId="11A8FEFD" w14:textId="77777777" w:rsidR="00A2243E" w:rsidRPr="00D40509" w:rsidRDefault="00A2243E" w:rsidP="00A2243E">
      <w:r w:rsidRPr="00D40509">
        <w:t>Для увеличения экономической активности пожилых граждан необходимы гибкие условия занятости, включая временные, дистанционные и надомные форматы работы, считает юрист. Важную роль играют образовательные программы, направленные на освоение новых профессий и повышение цифровой грамотности. В 2023 году навыкам компьютерной грамотности обучились 186,9 тыс. пожилых граждан, но значительная часть населения остается уязвимой к цифровому неравенству.</w:t>
      </w:r>
    </w:p>
    <w:p w14:paraId="1B4AF166" w14:textId="77777777" w:rsidR="00A2243E" w:rsidRPr="00D40509" w:rsidRDefault="00A2243E" w:rsidP="00A2243E">
      <w:r w:rsidRPr="00D40509">
        <w:t>При платформенной экономике пожилые люди с их опытом будут востребованы</w:t>
      </w:r>
    </w:p>
    <w:p w14:paraId="251BA674" w14:textId="77777777" w:rsidR="00A2243E" w:rsidRPr="00D40509" w:rsidRDefault="00D40509" w:rsidP="00A2243E">
      <w:r>
        <w:t>«</w:t>
      </w:r>
      <w:r w:rsidR="00A2243E" w:rsidRPr="00D40509">
        <w:t>Основной вызов заключается в том, чтобы трансформировать процесс старения населения из демографической проблемы в ресурс для общества и экономики. Успех этих усилий зависит от того, насколько эффективно будут реализованы меры, предусмотренные Стратегией действий в интересах граждан старшего поколения до 2030 года, включая развитие инфраструктуры, здравоохранения и программ обучения</w:t>
      </w:r>
      <w:r>
        <w:t>»</w:t>
      </w:r>
      <w:r w:rsidR="00A2243E" w:rsidRPr="00D40509">
        <w:t>, - добавил эксперт.</w:t>
      </w:r>
    </w:p>
    <w:p w14:paraId="30CD8629" w14:textId="77777777" w:rsidR="00A2243E" w:rsidRPr="00D40509" w:rsidRDefault="00A2243E" w:rsidP="00A2243E">
      <w:r w:rsidRPr="00D40509">
        <w:lastRenderedPageBreak/>
        <w:t xml:space="preserve">По словам руководителя оперативного штаба Независимого профсоюза </w:t>
      </w:r>
      <w:r w:rsidR="00D40509">
        <w:t>«</w:t>
      </w:r>
      <w:r w:rsidRPr="00D40509">
        <w:t>Новый Труд</w:t>
      </w:r>
      <w:r w:rsidR="00D40509">
        <w:t>»</w:t>
      </w:r>
      <w:r w:rsidRPr="00D40509">
        <w:t xml:space="preserve"> Алексея Неживого, Россию ждет платформенная и цифровая трансформация экономики. </w:t>
      </w:r>
      <w:r w:rsidR="00D40509">
        <w:t>«</w:t>
      </w:r>
      <w:r w:rsidRPr="00D40509">
        <w:t>Платформа - электронная программа, искусственный интеллект, который заменяет и отдел кадров, и среднее управляющее звено. Однако, чтобы пользоваться этими благами и активно участвовать в экономической деятельности в эпоху платформенных решений, надо хорошо разбираться в компьютерах и различных программах. Помимо узкой технической или гуманитарной специализации, важно обладать еще специализацией в IT. При платформенной экономике пожилые люди с их огромным опытом в рамках своей трудовой специализации будут востребованы. Более того, поскольку нас ждет эпоха роботизации, специальности тоже трансформируются в сферу управления и творческого направления, где не надо прилагать физических сил. И тут у старшего поколения есть плюсы: богатый опыт трудовой деятельности и высокая ответственность. Может быть, пенсионеры не так оперативны при ответе на какие-то запросы, но зато более обязательны. И если берут на себя задачу, то, как правило, решают ее</w:t>
      </w:r>
      <w:r w:rsidR="00D40509">
        <w:t>»</w:t>
      </w:r>
      <w:r w:rsidRPr="00D40509">
        <w:t>, - считает эксперт.</w:t>
      </w:r>
    </w:p>
    <w:p w14:paraId="57A09A73" w14:textId="77777777" w:rsidR="00A2243E" w:rsidRPr="00D40509" w:rsidRDefault="00A2243E" w:rsidP="00A2243E">
      <w:r w:rsidRPr="00D40509">
        <w:t xml:space="preserve">Однако необходимо разработать программу по внедрению IT-грамотности среди людей серебряного возраста. </w:t>
      </w:r>
      <w:r w:rsidR="00D40509">
        <w:t>«</w:t>
      </w:r>
      <w:r w:rsidRPr="00D40509">
        <w:t>С учетом специфики когнитивных функций старшего поколения. Это очень серьезная задача, которую нужно уже сейчас начинать решать на уровне государства</w:t>
      </w:r>
      <w:r w:rsidR="00D40509">
        <w:t>»</w:t>
      </w:r>
      <w:r w:rsidRPr="00D40509">
        <w:t>, - уточнил представитель профсоюза.</w:t>
      </w:r>
    </w:p>
    <w:p w14:paraId="47521986" w14:textId="77777777" w:rsidR="00A2243E" w:rsidRPr="00D40509" w:rsidRDefault="00D40509" w:rsidP="00A2243E">
      <w:r>
        <w:t>«</w:t>
      </w:r>
      <w:r w:rsidR="00A2243E" w:rsidRPr="00D40509">
        <w:t>Основными причинами роста численности лиц старше трудоспособного возраста является рост продолжительности жизни (в 2023 году он был на уровне 73,1 лет, в 2030 - до 75,59 лет), что, в свою очередь, связано с улучшением качества здравоохранения. В силу изменения половозрастной структуры населения в России происходит постепенное старение рабочей силы. Уже сейчас средний возраст работника составляет 42 года. Учитывая данные обстоятельства, работодателям придется научиться работать с такими сотрудниками. Мы и сейчас видим последствия старения рабочей силы: большое число лиц пенсионного возраста работает в торговле, услугах, на производстве</w:t>
      </w:r>
      <w:r>
        <w:t>»</w:t>
      </w:r>
      <w:r w:rsidR="00A2243E" w:rsidRPr="00D40509">
        <w:t>, - пояснил профессор Финансового университета при правительстве РФ Александр Сафонов.</w:t>
      </w:r>
    </w:p>
    <w:p w14:paraId="33AA0B2A" w14:textId="77777777" w:rsidR="00A2243E" w:rsidRPr="00D40509" w:rsidRDefault="00A2243E" w:rsidP="00A2243E">
      <w:r w:rsidRPr="00D40509">
        <w:t>Рост числа граждан старших возрастов, которые проживают без пары, связан с разницей в продолжительности жизни супругов. Как правило, женщины в среднем живут дольше мужчин на 10-12 лет. По мере сокращения этой разницы будет сокращаться и численность одиноко проживающих граждан, добавил он.</w:t>
      </w:r>
    </w:p>
    <w:p w14:paraId="1D7B09CD" w14:textId="77777777" w:rsidR="00111D7C" w:rsidRPr="00D40509" w:rsidRDefault="00A2243E" w:rsidP="00A2243E">
      <w:hyperlink r:id="rId20" w:history="1">
        <w:r w:rsidRPr="00D40509">
          <w:rPr>
            <w:rStyle w:val="a3"/>
          </w:rPr>
          <w:t>https://rg.ru/2024/11/19/iurist-rusiaev-starenie-naseleniia-dolzhno-stat-resursom-dlia-obshchestva-i-ekonomiki.html</w:t>
        </w:r>
      </w:hyperlink>
    </w:p>
    <w:p w14:paraId="1433B226" w14:textId="77777777" w:rsidR="00BC31E2" w:rsidRPr="00D40509" w:rsidRDefault="00BC31E2" w:rsidP="00BC31E2">
      <w:pPr>
        <w:pStyle w:val="2"/>
      </w:pPr>
      <w:bookmarkStart w:id="70" w:name="_Toc183067300"/>
      <w:r w:rsidRPr="00D40509">
        <w:t>Российская газета, 19.11.2024, Минимальная пенсия в Москве вырастет с 1 января</w:t>
      </w:r>
      <w:bookmarkEnd w:id="70"/>
    </w:p>
    <w:p w14:paraId="1E4629E2" w14:textId="77777777" w:rsidR="00BC31E2" w:rsidRPr="00D40509" w:rsidRDefault="00BC31E2" w:rsidP="00EA17F3">
      <w:pPr>
        <w:pStyle w:val="3"/>
      </w:pPr>
      <w:bookmarkStart w:id="71" w:name="_Toc183067301"/>
      <w:r w:rsidRPr="00D40509">
        <w:t>Депутаты Мосгордумы на днях сразу в трех чтениях приняли бюджет Москвы на 2025 год и плановый период 2026-2027 годов. Более половины расходов, или 2,8 триллиона рублей, в грядущем году составят траты социального характера - здравоохранение, образование, соцподдержка.</w:t>
      </w:r>
      <w:bookmarkEnd w:id="71"/>
    </w:p>
    <w:p w14:paraId="04C180EC" w14:textId="77777777" w:rsidR="00BC31E2" w:rsidRPr="00D40509" w:rsidRDefault="00BC31E2" w:rsidP="00BC31E2">
      <w:r w:rsidRPr="00D40509">
        <w:t xml:space="preserve">Благодаря этому с 1 января минимальный размер пенсии с городской доплатой в Москве вырастет с нынешних 24 500 до 25 850 рублей в месяц. Городскую доплату </w:t>
      </w:r>
      <w:r w:rsidRPr="00D40509">
        <w:lastRenderedPageBreak/>
        <w:t>получают 2 млн столичных пенсионеров. Рост составит 5,5%. На такую же величину вырастут размеры пособий и выплат семьям с детьми, людям с инвалидностью и другим льготникам.</w:t>
      </w:r>
    </w:p>
    <w:p w14:paraId="0E7B8B98" w14:textId="77777777" w:rsidR="00BC31E2" w:rsidRPr="00D40509" w:rsidRDefault="00BC31E2" w:rsidP="00BC31E2">
      <w:r w:rsidRPr="00D40509">
        <w:t>Сохранятся все льготы и субсидии по оплате жилищно-коммунальных услуг. Только на финансирование льгот заложено 32,6 млрд рублей, а еще 22,4 млрд направят на выплаты субсидий семьям с невысоким уровнем дохода. Эти выплаты можно получать независимо от наличия льгот - главное, чтобы расходы на ЖКУ превышали 10% семейного бюджета. В других регионах эта планка обычно более чем вдвое выше - 22%.</w:t>
      </w:r>
    </w:p>
    <w:p w14:paraId="34A6FFFD" w14:textId="77777777" w:rsidR="00BC31E2" w:rsidRPr="00D40509" w:rsidRDefault="00BC31E2" w:rsidP="00BC31E2">
      <w:r w:rsidRPr="00D40509">
        <w:t>Заложены в бюджете деньги и на сохранение других льгот. Например, более 186 млрд рублей направят на улучшение качества обслуживания пассажиров и обеспечение бесплатного и льготного проезда на общественном транспорте Москвы и Подмосковья, включая пригородные электрички. Около 62 млрд рублей потратят на обеспечение москвичей бесплатными лекарствами, медизделиями и лечебным питанием.</w:t>
      </w:r>
    </w:p>
    <w:p w14:paraId="05B7687A" w14:textId="77777777" w:rsidR="00BC31E2" w:rsidRPr="00D40509" w:rsidRDefault="00BC31E2" w:rsidP="00BC31E2">
      <w:hyperlink r:id="rId21" w:history="1">
        <w:r w:rsidRPr="00D40509">
          <w:rPr>
            <w:rStyle w:val="a3"/>
          </w:rPr>
          <w:t>https://rg.ru/2024/11/19/reg-cfo/minimalnaia-pensiia-v-moskve-vyrastet-s-1-ianvaria.html</w:t>
        </w:r>
      </w:hyperlink>
      <w:r w:rsidRPr="00D40509">
        <w:t xml:space="preserve"> </w:t>
      </w:r>
    </w:p>
    <w:p w14:paraId="682FC272" w14:textId="77777777" w:rsidR="00A00DF6" w:rsidRPr="00D40509" w:rsidRDefault="00A00DF6" w:rsidP="00A00DF6">
      <w:pPr>
        <w:pStyle w:val="2"/>
      </w:pPr>
      <w:bookmarkStart w:id="72" w:name="a8"/>
      <w:bookmarkStart w:id="73" w:name="_Hlk183066916"/>
      <w:bookmarkStart w:id="74" w:name="_Toc183067302"/>
      <w:bookmarkEnd w:id="72"/>
      <w:r w:rsidRPr="00D40509">
        <w:t>ТАСС, 20.11.2024, Более 700 млрд руб. направят на индексацию страховых пенсий в РФ в 2025 г.</w:t>
      </w:r>
      <w:bookmarkEnd w:id="74"/>
    </w:p>
    <w:p w14:paraId="0B437D1D" w14:textId="77777777" w:rsidR="00A00DF6" w:rsidRPr="00D40509" w:rsidRDefault="00A00DF6" w:rsidP="00EA17F3">
      <w:pPr>
        <w:pStyle w:val="3"/>
      </w:pPr>
      <w:bookmarkStart w:id="75" w:name="_Toc183067303"/>
      <w:r w:rsidRPr="00D40509">
        <w:t>Проект федерального бюджета РФ на 2025 год предусматривает более 700 млрд руб. на индексацию страховых пенсий, сообщили ТАСС в пресс-службе Минфина РФ.</w:t>
      </w:r>
      <w:bookmarkEnd w:id="75"/>
    </w:p>
    <w:p w14:paraId="37237204" w14:textId="77777777" w:rsidR="00A00DF6" w:rsidRPr="00D40509" w:rsidRDefault="00D40509" w:rsidP="00A00DF6">
      <w:r>
        <w:t>«</w:t>
      </w:r>
      <w:r w:rsidR="00A00DF6" w:rsidRPr="00D40509">
        <w:t>Проектом федерального бюджета на 2025-2027 годы на выплату страховых пенсий предусмотрено в 2025 году порядка 11 трлн руб., в том числе более 700 млрд руб.</w:t>
      </w:r>
      <w:r w:rsidR="005F0AFF" w:rsidRPr="00D40509">
        <w:t xml:space="preserve"> </w:t>
      </w:r>
      <w:r w:rsidR="00A00DF6" w:rsidRPr="00D40509">
        <w:t>- на их индексацию. При этом у правительства есть право провести дополнительную индексацию страховых пенсий в случае, если инфляция будет выше</w:t>
      </w:r>
      <w:r>
        <w:t>»</w:t>
      </w:r>
      <w:r w:rsidR="00A00DF6" w:rsidRPr="00D40509">
        <w:t>, - отметили в пресс-службе.</w:t>
      </w:r>
    </w:p>
    <w:p w14:paraId="65D9CAEF" w14:textId="77777777" w:rsidR="00A00DF6" w:rsidRPr="00D40509" w:rsidRDefault="00A00DF6" w:rsidP="00A00DF6">
      <w:r w:rsidRPr="00D40509">
        <w:t xml:space="preserve">С 1 января 2025 года пенсии работающим и неработающим пенсионерам будут проиндексированы на уровень инфляции - 7,3%. Таким образом, средний размер страховой пенсии по старости неработающих пенсионеров в следующем году составит около 24 тыс. руб., добавили в Минфине. </w:t>
      </w:r>
    </w:p>
    <w:p w14:paraId="6F4B179A" w14:textId="77777777" w:rsidR="00640E9F" w:rsidRPr="00D40509" w:rsidRDefault="00640E9F" w:rsidP="00640E9F">
      <w:r w:rsidRPr="00D40509">
        <w:t>С 1 января 2025 года пенсии работающим и неработающим пенсионерам будут проиндексированы на уровень инфляции - 7,3%. Таким образом, средний размер страховой пенсии по старости неработающих пенсионеров в следующем году составит около 24 тыс. руб., добавили в Минфине.</w:t>
      </w:r>
    </w:p>
    <w:p w14:paraId="2ED5548D" w14:textId="77777777" w:rsidR="00640E9F" w:rsidRPr="00D40509" w:rsidRDefault="00D40509" w:rsidP="00640E9F">
      <w:r>
        <w:t>«</w:t>
      </w:r>
      <w:r w:rsidR="00640E9F" w:rsidRPr="00D40509">
        <w:t>Пенсии по государственному пенсионному обеспечению, например, выплаты по инвалидности, по потере кормильца, за выслугу лет и некоторые другие будут увеличены в 2025 году на 14,8%. Расходы бюджета на эти виды пенсий составят более 800 млрд рублей</w:t>
      </w:r>
      <w:r>
        <w:t>»</w:t>
      </w:r>
      <w:r w:rsidR="00640E9F" w:rsidRPr="00D40509">
        <w:t xml:space="preserve">, - говорится в телеграм-канале Минфина РФ. </w:t>
      </w:r>
    </w:p>
    <w:p w14:paraId="49196463" w14:textId="77777777" w:rsidR="00A00DF6" w:rsidRPr="00D40509" w:rsidRDefault="00A00DF6" w:rsidP="00640E9F">
      <w:hyperlink r:id="rId22" w:history="1">
        <w:r w:rsidRPr="00D40509">
          <w:rPr>
            <w:rStyle w:val="a3"/>
          </w:rPr>
          <w:t>https://tass.ru/ekonomika/22449729</w:t>
        </w:r>
      </w:hyperlink>
      <w:r w:rsidRPr="00D40509">
        <w:t xml:space="preserve"> </w:t>
      </w:r>
    </w:p>
    <w:p w14:paraId="6E2D0886" w14:textId="77777777" w:rsidR="00463579" w:rsidRPr="00D40509" w:rsidRDefault="00463579" w:rsidP="00463579">
      <w:pPr>
        <w:pStyle w:val="2"/>
      </w:pPr>
      <w:bookmarkStart w:id="76" w:name="_Toc183067304"/>
      <w:bookmarkEnd w:id="73"/>
      <w:r w:rsidRPr="00D40509">
        <w:lastRenderedPageBreak/>
        <w:t>РБК Инвестиции, 20.11.2024, Пенсия за выслугу лет: чем отличается и кому положена</w:t>
      </w:r>
      <w:bookmarkEnd w:id="76"/>
      <w:r w:rsidRPr="00D40509">
        <w:t xml:space="preserve"> </w:t>
      </w:r>
    </w:p>
    <w:p w14:paraId="50ACDF5C" w14:textId="77777777" w:rsidR="00463579" w:rsidRPr="00D40509" w:rsidRDefault="00463579" w:rsidP="00EA17F3">
      <w:pPr>
        <w:pStyle w:val="3"/>
      </w:pPr>
      <w:bookmarkStart w:id="77" w:name="_Toc183067305"/>
      <w:r w:rsidRPr="00D40509">
        <w:t xml:space="preserve">Некоторые россияне имеют право получать пенсионные выплаты за большой стаж в определенной должности или организации. Что такое пенсия за выслугу лет и кто может ее оформить — в обзоре </w:t>
      </w:r>
      <w:r w:rsidR="00D40509">
        <w:t>«</w:t>
      </w:r>
      <w:r w:rsidRPr="00D40509">
        <w:t>РБК Инвестиций</w:t>
      </w:r>
      <w:r w:rsidR="00D40509">
        <w:t>»</w:t>
      </w:r>
      <w:r w:rsidRPr="00D40509">
        <w:t>.</w:t>
      </w:r>
      <w:bookmarkEnd w:id="77"/>
    </w:p>
    <w:p w14:paraId="1301AECE" w14:textId="77777777" w:rsidR="00463579" w:rsidRPr="00D40509" w:rsidRDefault="00463579" w:rsidP="00463579">
      <w:r w:rsidRPr="00D40509">
        <w:t>Что такое пенсия за выслугу лет</w:t>
      </w:r>
    </w:p>
    <w:p w14:paraId="429BDB45" w14:textId="77777777" w:rsidR="00463579" w:rsidRPr="00D40509" w:rsidRDefault="00463579" w:rsidP="00463579">
      <w:r w:rsidRPr="00D40509">
        <w:t>Пенсия за выслугу лет — это денежные выплаты гражданам, у которых есть необходимый стаж в определенной должности или организации.</w:t>
      </w:r>
    </w:p>
    <w:p w14:paraId="7037B603" w14:textId="77777777" w:rsidR="00463579" w:rsidRPr="00D40509" w:rsidRDefault="00463579" w:rsidP="00463579">
      <w:r w:rsidRPr="00D40509">
        <w:t>Такая пенсия назначается не по факту достижения пенсионного возраста, для ее получения учитывается, как правило, только длительность трудового стажа (выслуги лет).</w:t>
      </w:r>
    </w:p>
    <w:p w14:paraId="244E8A07" w14:textId="77777777" w:rsidR="00463579" w:rsidRPr="00D40509" w:rsidRDefault="00463579" w:rsidP="00463579">
      <w:r w:rsidRPr="00D40509">
        <w:t>К получателям выплат относятся государственные и муниципальные служащие, сотрудники военных и силовых ведомств, космонавты и летчики. Для каждой категории применяются свои условия для получения пенсии за выслугу лет.</w:t>
      </w:r>
    </w:p>
    <w:p w14:paraId="7411E89C" w14:textId="77777777" w:rsidR="00463579" w:rsidRPr="00D40509" w:rsidRDefault="00463579" w:rsidP="00463579">
      <w:r w:rsidRPr="00D40509">
        <w:t>Условия назначения пенсии и порядок выплаты регулируются следующими законами:</w:t>
      </w:r>
    </w:p>
    <w:p w14:paraId="6E15A01B" w14:textId="77777777" w:rsidR="00463579" w:rsidRPr="00D40509" w:rsidRDefault="00463579" w:rsidP="00463579">
      <w:r w:rsidRPr="00D40509">
        <w:t xml:space="preserve">    Федеральный закон № 166 от 15 декабря 2001 года — устанавливает основания возникновения права на пенсию по государственному пенсионному обеспечению и порядок ее назначения;</w:t>
      </w:r>
    </w:p>
    <w:p w14:paraId="4EAC1A54" w14:textId="77777777" w:rsidR="00463579" w:rsidRPr="00D40509" w:rsidRDefault="00463579" w:rsidP="00463579">
      <w:r w:rsidRPr="00D40509">
        <w:t xml:space="preserve">    Федеральный закон № 4468-1 от 12 февраля 1993 года — регулирует назначение пенсии людям, проходивших военную и службу в органах внутренних дел и прочих силовых ведомствах;</w:t>
      </w:r>
    </w:p>
    <w:p w14:paraId="3B7ADF5C" w14:textId="77777777" w:rsidR="00463579" w:rsidRPr="00D40509" w:rsidRDefault="00463579" w:rsidP="00463579">
      <w:r w:rsidRPr="00D40509">
        <w:t xml:space="preserve">    Федеральный закон № 342 от 30 ноября 2011 года — устанавливает правила расчета стажа для служащих в органах внутренних дел России;</w:t>
      </w:r>
    </w:p>
    <w:p w14:paraId="73D793E7" w14:textId="77777777" w:rsidR="00463579" w:rsidRPr="00D40509" w:rsidRDefault="00463579" w:rsidP="00463579">
      <w:r w:rsidRPr="00D40509">
        <w:t xml:space="preserve">    Федеральный закон № 79 от 27 июля 2004 года </w:t>
      </w:r>
      <w:r w:rsidR="00D40509">
        <w:t>«</w:t>
      </w:r>
      <w:r w:rsidRPr="00D40509">
        <w:t>О государственной гражданской службе Российской Федерации</w:t>
      </w:r>
      <w:r w:rsidR="00D40509">
        <w:t>»</w:t>
      </w:r>
      <w:r w:rsidRPr="00D40509">
        <w:t xml:space="preserve"> — устанавливает правила расчета стажа для госслужащих, работавших в СССР в организациях госуправления.</w:t>
      </w:r>
    </w:p>
    <w:p w14:paraId="3051E9B3" w14:textId="77777777" w:rsidR="00463579" w:rsidRPr="00D40509" w:rsidRDefault="00463579" w:rsidP="00463579">
      <w:r w:rsidRPr="00D40509">
        <w:t>Работники бюджетной сферы (медики и педагоги) и представители творческих профессий (например, артисты балета и театра) имеют право получать досрочную страховую пенсию по старости после достижения необходимого стажа в данной профессии, но это не считается пенсией за выслугу лет.</w:t>
      </w:r>
    </w:p>
    <w:p w14:paraId="517F3757" w14:textId="77777777" w:rsidR="00463579" w:rsidRPr="00D40509" w:rsidRDefault="00463579" w:rsidP="00463579">
      <w:r w:rsidRPr="00D40509">
        <w:t>Чем отличается пенсия за выслугу лет от пенсии по старости</w:t>
      </w:r>
    </w:p>
    <w:p w14:paraId="187AF11B" w14:textId="77777777" w:rsidR="00463579" w:rsidRPr="00D40509" w:rsidRDefault="00463579" w:rsidP="00463579">
      <w:r w:rsidRPr="00D40509">
        <w:t>Страховая пенсия по старости — это пожизненная ежемесячная выплата гражданам, достигшим определенного законом возраста. Состоит из накопленных пенсионных коэффициентов, умноженных на стоимость пенсионного коэффициента, и фиксированной (базовой) выплаты от государства.</w:t>
      </w:r>
    </w:p>
    <w:p w14:paraId="3F804CE2" w14:textId="77777777" w:rsidR="00463579" w:rsidRPr="00D40509" w:rsidRDefault="00463579" w:rsidP="00463579">
      <w:r w:rsidRPr="00D40509">
        <w:t>Стоимость пенсионного коэффициента и базовой части ежегодно индексируется на размер инфляции. Так, с 1 января индексация составила 7,5%, стоимость пенсионного коэффициента выросла до ₽133,05, базовая часть пенсии — до ₽8134,88. В 2025 году пройдет индексация на 7,3% — до ₽142,76 и ₽8728,73 соответственно.</w:t>
      </w:r>
    </w:p>
    <w:p w14:paraId="38125D28" w14:textId="77777777" w:rsidR="00463579" w:rsidRPr="00D40509" w:rsidRDefault="00463579" w:rsidP="00463579">
      <w:r w:rsidRPr="00D40509">
        <w:lastRenderedPageBreak/>
        <w:t>С 2019 года пенсионный возраст начал увеличиваться. В рамках пенсионной реформы предусмотрено постепенное повышение возраста выхода на пенсию, в 2024 году он составляет 58 лет для женщин и 63 года для мужчин. Полный переход завершится в 2028 году, когда возраст выхода на пенсию по старости будет 60 и 65 лет соответственно.</w:t>
      </w:r>
    </w:p>
    <w:p w14:paraId="338CA651" w14:textId="77777777" w:rsidR="00463579" w:rsidRPr="00D40509" w:rsidRDefault="00463579" w:rsidP="00463579">
      <w:r w:rsidRPr="00D40509">
        <w:t>Из-за особенностей переходного периода по повышению пенсионного возраста в 2025 и 2027 годах нет возрастной группы, которая сможет выйти на пенсию по старости. В 2026 году общеустановленный возраст увеличится до 59 лет для женщин и 64 года для мужчин, в 2028 — до 60 и 65 лет соответственно.</w:t>
      </w:r>
    </w:p>
    <w:p w14:paraId="35D542A6" w14:textId="77777777" w:rsidR="00463579" w:rsidRPr="00D40509" w:rsidRDefault="00463579" w:rsidP="00463579">
      <w:r w:rsidRPr="00D40509">
        <w:t>Для выхода на пенсию в 2025 году и далее трудовой стаж должен составлять 15 лет, а величина индивидуального пенсионного коэффициента (ИПК) не менее 30.</w:t>
      </w:r>
    </w:p>
    <w:p w14:paraId="516AB03F" w14:textId="77777777" w:rsidR="00463579" w:rsidRPr="00D40509" w:rsidRDefault="00463579" w:rsidP="00463579">
      <w:r w:rsidRPr="00D40509">
        <w:t xml:space="preserve">Пенсионный коэффициент напрямую зависит от зарплаты и, соответственно, отчислений работодателя. Посмотреть ИПК и трудовой стаж можно в выписке из лицевого счета СФР, обратившись в через МФЦ или портал </w:t>
      </w:r>
      <w:r w:rsidR="00D40509">
        <w:t>«</w:t>
      </w:r>
      <w:r w:rsidRPr="00D40509">
        <w:t>Госуслуги</w:t>
      </w:r>
      <w:r w:rsidR="00D40509">
        <w:t>»</w:t>
      </w:r>
      <w:r w:rsidRPr="00D40509">
        <w:t>.</w:t>
      </w:r>
    </w:p>
    <w:p w14:paraId="04F847D8" w14:textId="77777777" w:rsidR="00463579" w:rsidRPr="00D40509" w:rsidRDefault="00463579" w:rsidP="00463579">
      <w:r w:rsidRPr="00D40509">
        <w:t>Людям, которые по какой-то причине не имеют права получать страховую пенсию по старости, государство выплачивает социальную пенсию. Но назначают такую пенсию на пять лет позже: например, в 2024 году женщинам — в 63 года, мужчинам — в 68 лет. Социальные пенсии также индексируются каждый год. В 2024 году размер социальной пенсии по старости составил ₽7689,83, в 2025 году планируется индексация на 14,75%.</w:t>
      </w:r>
    </w:p>
    <w:p w14:paraId="43E8CC9C" w14:textId="77777777" w:rsidR="00463579" w:rsidRPr="00D40509" w:rsidRDefault="00463579" w:rsidP="00463579">
      <w:r w:rsidRPr="00D40509">
        <w:t>Основанием для назначения пенсии за выслугу лет является наличие у человека трудового стажа в определенной должности или организации. По закону к таким категориям граждан относятся госслужащие, военнослужащие (исключение — лица, проходящие обязательную службу в Вооруженных силах России), космонавты и летчики.</w:t>
      </w:r>
    </w:p>
    <w:p w14:paraId="54FE5DC7" w14:textId="77777777" w:rsidR="00463579" w:rsidRPr="00D40509" w:rsidRDefault="00463579" w:rsidP="00463579">
      <w:r w:rsidRPr="00D40509">
        <w:t xml:space="preserve">Пенсии по выслуге лет также индексируются, но размер индексации зависит не от инфляции. Такие выплаты растут вместе с зарплатами в этой сфере. Так, для военных пенсионеров, бывших сотрудников отдельных силовых ведомств и членов их семей пенсия 1 октября 2024 года была проиндексирована на 5,1%. В 2025 году военные пенсии вырастут не менее чем 4,5%, сказала </w:t>
      </w:r>
      <w:r w:rsidR="00D40509">
        <w:t>«</w:t>
      </w:r>
      <w:r w:rsidRPr="00D40509">
        <w:t>Парламентской газете</w:t>
      </w:r>
      <w:r w:rsidR="00D40509">
        <w:t>»</w:t>
      </w:r>
      <w:r w:rsidRPr="00D40509">
        <w:t xml:space="preserve"> депутат, член Комитета Государственной думы по труду, социальной политике и делам ветеранов Светлана Бессараб.</w:t>
      </w:r>
    </w:p>
    <w:p w14:paraId="3D6084B8" w14:textId="77777777" w:rsidR="00463579" w:rsidRPr="00D40509" w:rsidRDefault="00463579" w:rsidP="00463579">
      <w:r w:rsidRPr="00D40509">
        <w:t>Кто может получить пенсию за выслугу лет</w:t>
      </w:r>
    </w:p>
    <w:p w14:paraId="3AD05020" w14:textId="77777777" w:rsidR="00463579" w:rsidRPr="00D40509" w:rsidRDefault="00463579" w:rsidP="00463579">
      <w:r w:rsidRPr="00D40509">
        <w:t xml:space="preserve">Адвокат Московской коллегии адвокатов </w:t>
      </w:r>
      <w:r w:rsidR="00D40509">
        <w:t>«</w:t>
      </w:r>
      <w:r w:rsidRPr="00D40509">
        <w:t>ВМ-право</w:t>
      </w:r>
      <w:r w:rsidR="00D40509">
        <w:t>»</w:t>
      </w:r>
      <w:r w:rsidRPr="00D40509">
        <w:t xml:space="preserve"> Татьяна Молоканова рассказала </w:t>
      </w:r>
      <w:r w:rsidR="00D40509">
        <w:t>«</w:t>
      </w:r>
      <w:r w:rsidRPr="00D40509">
        <w:t>РБК Инвестициям</w:t>
      </w:r>
      <w:r w:rsidR="00D40509">
        <w:t>»</w:t>
      </w:r>
      <w:r w:rsidRPr="00D40509">
        <w:t>, что пенсия по выслуге лет, в отличие от пенсий по старости, назначается лишь четырем категориям работников:</w:t>
      </w:r>
    </w:p>
    <w:p w14:paraId="649EA7D3" w14:textId="77777777" w:rsidR="00463579" w:rsidRPr="00D40509" w:rsidRDefault="00463579" w:rsidP="00463579">
      <w:r w:rsidRPr="00D40509">
        <w:t xml:space="preserve">    федеральным государственным гражданским служащим;</w:t>
      </w:r>
    </w:p>
    <w:p w14:paraId="35993F71" w14:textId="77777777" w:rsidR="00463579" w:rsidRPr="00D40509" w:rsidRDefault="00463579" w:rsidP="00463579">
      <w:r w:rsidRPr="00D40509">
        <w:t xml:space="preserve">    военнослужащим (кроме срочников);</w:t>
      </w:r>
    </w:p>
    <w:p w14:paraId="53239A35" w14:textId="77777777" w:rsidR="00463579" w:rsidRPr="00D40509" w:rsidRDefault="00463579" w:rsidP="00463579">
      <w:r w:rsidRPr="00D40509">
        <w:t xml:space="preserve">    космонавтам;</w:t>
      </w:r>
    </w:p>
    <w:p w14:paraId="17DFBA06" w14:textId="77777777" w:rsidR="00463579" w:rsidRPr="00D40509" w:rsidRDefault="00463579" w:rsidP="00463579">
      <w:r w:rsidRPr="00D40509">
        <w:t xml:space="preserve">    сотрудникам летно-испытательного состава.</w:t>
      </w:r>
    </w:p>
    <w:p w14:paraId="7CF038B1" w14:textId="77777777" w:rsidR="00463579" w:rsidRPr="00D40509" w:rsidRDefault="00463579" w:rsidP="00463579">
      <w:r w:rsidRPr="00D40509">
        <w:t>В каждом случае для назначения выплаты законодательством определены свои условия, добавила эксперт.</w:t>
      </w:r>
    </w:p>
    <w:p w14:paraId="26BBC734" w14:textId="77777777" w:rsidR="00463579" w:rsidRPr="00D40509" w:rsidRDefault="00463579" w:rsidP="00463579">
      <w:r w:rsidRPr="00D40509">
        <w:lastRenderedPageBreak/>
        <w:t>Федеральные государственные гражданские служащие</w:t>
      </w:r>
    </w:p>
    <w:p w14:paraId="0CD5D4C2" w14:textId="77777777" w:rsidR="00463579" w:rsidRPr="00D40509" w:rsidRDefault="00463579" w:rsidP="00463579">
      <w:r w:rsidRPr="00D40509">
        <w:t>Госслужащие</w:t>
      </w:r>
    </w:p>
    <w:p w14:paraId="024FD92B" w14:textId="77777777" w:rsidR="00463579" w:rsidRPr="00D40509" w:rsidRDefault="00463579" w:rsidP="00463579">
      <w:r w:rsidRPr="00D40509">
        <w:t xml:space="preserve">Первое условие — в 2024 году минимальный стаж должен составлять 19 лет работы в госсорганах. </w:t>
      </w:r>
      <w:r w:rsidR="00D40509">
        <w:t>«</w:t>
      </w:r>
      <w:r w:rsidRPr="00D40509">
        <w:t>В следующем году потребуется уже 19 лет и шесть месяцев стажа</w:t>
      </w:r>
      <w:r w:rsidR="00D40509">
        <w:t>»</w:t>
      </w:r>
      <w:r w:rsidRPr="00D40509">
        <w:t>, — добавила Молоканова.</w:t>
      </w:r>
    </w:p>
    <w:p w14:paraId="4C4AED0F" w14:textId="77777777" w:rsidR="00463579" w:rsidRPr="00D40509" w:rsidRDefault="00463579" w:rsidP="00463579">
      <w:r w:rsidRPr="00D40509">
        <w:t>И второе условие — замещение должности федеральной государственной гражданской службы не менее 12 полных месяцев и увольнение по определенным обстоятельствам (например, по состоянию здоровья), подтвержденным медицинским заключением.</w:t>
      </w:r>
    </w:p>
    <w:p w14:paraId="71753942" w14:textId="77777777" w:rsidR="00463579" w:rsidRPr="00D40509" w:rsidRDefault="00463579" w:rsidP="00463579">
      <w:r w:rsidRPr="00D40509">
        <w:t>Пенсию за выслугу лет выплачивают как надбавку к обычной страховой пенсии по старости или инвалидности. Размер пенсии за выслугу лет равен 45% среднемесячного заработка федерального государственного гражданского служащего за вычетом страховой пенсии по старости (инвалидности), фиксированной и повышенной выплаты к страховой. Если вы отработали положенное количество лет и продолжаете работать, то за каждый последующий год к пенсии будет прибавляться 3% от средней зарплаты. При этом общая сумма пенсии (за выслугу лет и страховая со всеми надбавками) не может превышать 75% среднемесячного заработка.</w:t>
      </w:r>
    </w:p>
    <w:p w14:paraId="39227D88" w14:textId="77777777" w:rsidR="00463579" w:rsidRPr="00D40509" w:rsidRDefault="00463579" w:rsidP="00463579">
      <w:r w:rsidRPr="00D40509">
        <w:t>На такую пенсию можно выйти раньше, чем на страховую по старости. Для этого нужно расторгнуть служебный контракт по собственному желанию, отработав перед увольнением не менее семи лет на должностях федеральной государственной гражданской службы и имея не менее 25 лет стажа государственной гражданской службы.</w:t>
      </w:r>
    </w:p>
    <w:p w14:paraId="7B369B40" w14:textId="77777777" w:rsidR="00463579" w:rsidRPr="00D40509" w:rsidRDefault="00463579" w:rsidP="00463579">
      <w:r w:rsidRPr="00D40509">
        <w:t>Гражданские и муниципальные служащие регионов России</w:t>
      </w:r>
    </w:p>
    <w:p w14:paraId="78EEE613" w14:textId="77777777" w:rsidR="00463579" w:rsidRPr="00D40509" w:rsidRDefault="00463579" w:rsidP="00463579">
      <w:r w:rsidRPr="00D40509">
        <w:t>Для получения пенсии за выслугу лет к страховой пенсии по старости или инвалидности требуется на 2024 год отработать 19 лет в госорганах, в 2025 году — 19 лет и шесть месяцев, в 2026 году и в последующие годы — 20 лет. Другие условия получения пенсии за выслугу лет определяют власти региона и муниципального образования.</w:t>
      </w:r>
    </w:p>
    <w:p w14:paraId="7FFD629B" w14:textId="77777777" w:rsidR="00463579" w:rsidRPr="00D40509" w:rsidRDefault="00463579" w:rsidP="00463579">
      <w:r w:rsidRPr="00D40509">
        <w:t>Военнослужащие</w:t>
      </w:r>
    </w:p>
    <w:p w14:paraId="36BCD051" w14:textId="77777777" w:rsidR="00463579" w:rsidRPr="00D40509" w:rsidRDefault="00463579" w:rsidP="00463579">
      <w:r w:rsidRPr="00D40509">
        <w:t>На военную пенсию могут претендовать не только военные, но и сотрудники других силовых ведомств, например сотрудники МВД России, МЧС, ФСИН и прочие. В стаж, который учитывается для пенсии за выслугу лет, может входить не только работа, но и обучение, нахождение в плену или период содержания под стражей, если потом была реабилитация.</w:t>
      </w:r>
    </w:p>
    <w:p w14:paraId="04907E95" w14:textId="77777777" w:rsidR="00463579" w:rsidRPr="00D40509" w:rsidRDefault="00463579" w:rsidP="00463579">
      <w:r w:rsidRPr="00D40509">
        <w:t>Военные</w:t>
      </w:r>
    </w:p>
    <w:p w14:paraId="3654D4B9" w14:textId="77777777" w:rsidR="00463579" w:rsidRPr="00D40509" w:rsidRDefault="00D40509" w:rsidP="00463579">
      <w:r>
        <w:t>«</w:t>
      </w:r>
      <w:r w:rsidR="00463579" w:rsidRPr="00D40509">
        <w:t>Величина выплаты привязана к ежемесячному денежному довольствию. Необходимо, чтобы на день увольнения у гражданина было не менее 20 лет выслуги на военной службе и (или) службе в других формированиях</w:t>
      </w:r>
      <w:r>
        <w:t>»</w:t>
      </w:r>
      <w:r w:rsidR="00463579" w:rsidRPr="00D40509">
        <w:t>, — сообщила Молоканова.</w:t>
      </w:r>
    </w:p>
    <w:p w14:paraId="6F7198B1" w14:textId="77777777" w:rsidR="00463579" w:rsidRPr="00D40509" w:rsidRDefault="00463579" w:rsidP="00463579">
      <w:r w:rsidRPr="00D40509">
        <w:t>Размер пенсии за выслугу 20 лет составляет 50% от денежного довольствия, за каждый год выслуги свыше 20 лет добавляется 3% от денежного довольствия, но всего не более 85%.</w:t>
      </w:r>
    </w:p>
    <w:p w14:paraId="73FBB62F" w14:textId="77777777" w:rsidR="00463579" w:rsidRPr="00D40509" w:rsidRDefault="00463579" w:rsidP="00463579">
      <w:r w:rsidRPr="00D40509">
        <w:lastRenderedPageBreak/>
        <w:t>Начальникам и офицерам в выслугу лет могут засчитать до пяти лет учебы перед выходом на службу в пропорции один год учебы = шесть месяцев службы. То есть за пять лет в стаж засчитают два года и шесть месяцев.</w:t>
      </w:r>
    </w:p>
    <w:p w14:paraId="1A891AE5" w14:textId="77777777" w:rsidR="00463579" w:rsidRPr="00D40509" w:rsidRDefault="00463579" w:rsidP="00463579">
      <w:r w:rsidRPr="00D40509">
        <w:t>Если гражданин увольняется по состоянию здоровья, в связи с реорганизацией или из-за предельного возраста пребывания на военной службе, к нему предъявляются следующие требования:</w:t>
      </w:r>
    </w:p>
    <w:p w14:paraId="18D9735F" w14:textId="77777777" w:rsidR="00463579" w:rsidRPr="00D40509" w:rsidRDefault="00463579" w:rsidP="00463579">
      <w:r w:rsidRPr="00D40509">
        <w:t xml:space="preserve">    возраст на дату увольнения — от 45 лет;</w:t>
      </w:r>
    </w:p>
    <w:p w14:paraId="692BD57B" w14:textId="77777777" w:rsidR="00463579" w:rsidRPr="00D40509" w:rsidRDefault="00463579" w:rsidP="00463579">
      <w:r w:rsidRPr="00D40509">
        <w:t xml:space="preserve">    общий стаж — от 25 лет, из них половина — военной службы.</w:t>
      </w:r>
    </w:p>
    <w:p w14:paraId="51A9C4F2" w14:textId="77777777" w:rsidR="00463579" w:rsidRPr="00D40509" w:rsidRDefault="00463579" w:rsidP="00463579">
      <w:r w:rsidRPr="00D40509">
        <w:t>Размер пенсии за выслугу лет составляет 50% от денежного довольствия. За каждый год сверх этого стажа добавляется 1%, но не более 85% заработка. Также на размер пенсии влияют участие в боевых действиях, наличие нетрудоспособных членов семьи и прочее.</w:t>
      </w:r>
    </w:p>
    <w:p w14:paraId="78F55C04" w14:textId="77777777" w:rsidR="00463579" w:rsidRPr="00D40509" w:rsidRDefault="00463579" w:rsidP="00463579">
      <w:r w:rsidRPr="00D40509">
        <w:t>Пенсия за выслугу лет не назначается гражданам, проходившим военную службу по призыву в качестве солдат, матросов, сержантов и старшин.</w:t>
      </w:r>
    </w:p>
    <w:p w14:paraId="77D7F910" w14:textId="77777777" w:rsidR="00463579" w:rsidRPr="00D40509" w:rsidRDefault="00463579" w:rsidP="00463579">
      <w:r w:rsidRPr="00D40509">
        <w:t>Пожарные, сотрудники МВД, Росгвардии и ФСИН</w:t>
      </w:r>
    </w:p>
    <w:p w14:paraId="337AE582" w14:textId="77777777" w:rsidR="00463579" w:rsidRPr="00D40509" w:rsidRDefault="00463579" w:rsidP="00463579">
      <w:r w:rsidRPr="00D40509">
        <w:t>Сотрудники этих ведомств могут выйти на пенсию за выслугу лет при выполнении одного из двух условий:</w:t>
      </w:r>
    </w:p>
    <w:p w14:paraId="0CC36819" w14:textId="77777777" w:rsidR="00463579" w:rsidRPr="00D40509" w:rsidRDefault="00463579" w:rsidP="00463579">
      <w:r w:rsidRPr="00D40509">
        <w:t xml:space="preserve">    не менее 20 лет профильного стажа при увольнении;</w:t>
      </w:r>
    </w:p>
    <w:p w14:paraId="3F7D3F94" w14:textId="77777777" w:rsidR="00463579" w:rsidRPr="00D40509" w:rsidRDefault="00463579" w:rsidP="00463579">
      <w:r w:rsidRPr="00D40509">
        <w:t xml:space="preserve">    достижение на день увольнения со службы возраста 45 лет, а также общий трудовой стаж не менее 25 календарных лет, из которых не менее 12 лет и шести месяцев составляет служба в указанных органах.</w:t>
      </w:r>
    </w:p>
    <w:p w14:paraId="42FCE8F5" w14:textId="77777777" w:rsidR="00463579" w:rsidRPr="00D40509" w:rsidRDefault="00463579" w:rsidP="00463579">
      <w:r w:rsidRPr="00D40509">
        <w:t>Космонавты</w:t>
      </w:r>
    </w:p>
    <w:p w14:paraId="7B81D0D3" w14:textId="77777777" w:rsidR="00463579" w:rsidRPr="00D40509" w:rsidRDefault="00463579" w:rsidP="00463579">
      <w:r w:rsidRPr="00D40509">
        <w:t xml:space="preserve">Для получения пенсии космонавтам требуется стаж не менее 25 лет у мужчин и 20 лет у женщин. </w:t>
      </w:r>
      <w:r w:rsidR="00D40509">
        <w:t>«</w:t>
      </w:r>
      <w:r w:rsidRPr="00D40509">
        <w:t>Если сотрудник оставил должность по болезни, необходим стаж 20 лет и 15 лет соответственно, из которых половина должна приходиться на работу в летно-испытательном подразделении</w:t>
      </w:r>
      <w:r w:rsidR="00D40509">
        <w:t>»</w:t>
      </w:r>
      <w:r w:rsidRPr="00D40509">
        <w:t>, — поясняет адвокат.</w:t>
      </w:r>
    </w:p>
    <w:p w14:paraId="3E3515FB" w14:textId="77777777" w:rsidR="00463579" w:rsidRPr="00D40509" w:rsidRDefault="00463579" w:rsidP="00463579">
      <w:r w:rsidRPr="00D40509">
        <w:t>Размер выплат за выслугу лет составляет 55% денежного довольствия (заработка) космонавтов. За каждый полный год работы сверх выслуги пенсия увеличивается на 3%, но не более чем до 85% денежного довольствия.</w:t>
      </w:r>
    </w:p>
    <w:p w14:paraId="1599043F" w14:textId="77777777" w:rsidR="00463579" w:rsidRPr="00D40509" w:rsidRDefault="00463579" w:rsidP="00463579">
      <w:r w:rsidRPr="00D40509">
        <w:t>Летчики</w:t>
      </w:r>
    </w:p>
    <w:p w14:paraId="2A4491FF" w14:textId="77777777" w:rsidR="00463579" w:rsidRPr="00D40509" w:rsidRDefault="00463579" w:rsidP="00463579">
      <w:r w:rsidRPr="00D40509">
        <w:t xml:space="preserve">Работникам летно-испытательного состава для получения пенсии за выслугу лет требуется стаж не менее 25 лет у мужчин и 20 лет у женщин. </w:t>
      </w:r>
      <w:r w:rsidR="00D40509">
        <w:t>«</w:t>
      </w:r>
      <w:r w:rsidRPr="00D40509">
        <w:t>При этом имеет значение, сколько именно человек проработал в должностях, дающих право на этот вид пенсионного обеспечения</w:t>
      </w:r>
      <w:r w:rsidR="00D40509">
        <w:t>»</w:t>
      </w:r>
      <w:r w:rsidRPr="00D40509">
        <w:t>, — добавляет эксперт.</w:t>
      </w:r>
    </w:p>
    <w:p w14:paraId="23A1A474" w14:textId="77777777" w:rsidR="00463579" w:rsidRPr="00D40509" w:rsidRDefault="00463579" w:rsidP="00463579">
      <w:r w:rsidRPr="00D40509">
        <w:t>Летчики имеют право на следующий размер пенсии за выслугу лет:</w:t>
      </w:r>
    </w:p>
    <w:p w14:paraId="0B2EAE31" w14:textId="77777777" w:rsidR="00463579" w:rsidRPr="00D40509" w:rsidRDefault="00463579" w:rsidP="00463579">
      <w:r w:rsidRPr="00D40509">
        <w:t xml:space="preserve">    если 2/3 и более от общего стажа приходится на непосредственное выполнение испытательных полетов на штатных рабочих местах членов летных экипажей летательных аппаратов и парашютно-десантной техники, то размер пенсии за выслугу лет назначается в размере, равном 1000% размера социальной пенсии, за вычетом страховой пенсии по старости (инвалидности). За каждый полный год выслуги сверх 25 </w:t>
      </w:r>
      <w:r w:rsidRPr="00D40509">
        <w:lastRenderedPageBreak/>
        <w:t>и 20 лет (для мужчин и женщин соответственно) выплата увеличивается на 25% размера социальной пенсии, но не более чем до 1500% размера указанной социальной пенсии;</w:t>
      </w:r>
    </w:p>
    <w:p w14:paraId="18DD3C2F" w14:textId="77777777" w:rsidR="00463579" w:rsidRPr="00D40509" w:rsidRDefault="00463579" w:rsidP="00463579">
      <w:r w:rsidRPr="00D40509">
        <w:t xml:space="preserve">    если менее 2/3 от общего стажа приходится на непосредственное выполнение испытательных полетов на штатных рабочих местах членов летных экипажей летательных аппаратов и парашютно-десантной техники, то пенсия за выслугу лет равна 800% размера социальной пенсии за вычетом страховой пенсии по старости (инвалидности). За каждый полный год выслуги сверх 25 и 20 лет (для мужчин и женщин соответственно) пенсия за выслугу лет увеличивается на 25% размера социальной пенсии, но не более чем до 1300% размера указанной социальной пенсии.</w:t>
      </w:r>
    </w:p>
    <w:p w14:paraId="7A5A9B41" w14:textId="77777777" w:rsidR="00463579" w:rsidRPr="00D40509" w:rsidRDefault="00463579" w:rsidP="00463579">
      <w:r w:rsidRPr="00D40509">
        <w:t>В 2024 году размер социальной пенсии по старости составил ₽7689,83. С 1 апреля 2025 года планируется увеличение социальной пенсии на 14,75% (в соответствии с темпом роста федерального прожиточного минимума пенсионеров).</w:t>
      </w:r>
    </w:p>
    <w:p w14:paraId="0103180F" w14:textId="77777777" w:rsidR="00463579" w:rsidRPr="00D40509" w:rsidRDefault="00463579" w:rsidP="00463579">
      <w:r w:rsidRPr="00D40509">
        <w:t>Как оформить пенсию за выслугу лет</w:t>
      </w:r>
    </w:p>
    <w:p w14:paraId="6EBEAC45" w14:textId="77777777" w:rsidR="00463579" w:rsidRPr="00D40509" w:rsidRDefault="00463579" w:rsidP="00463579">
      <w:r w:rsidRPr="00D40509">
        <w:t xml:space="preserve">Пенсия за выслугу лет назначается по заявлению работника, которое Социальный фонд России рассматривает в течение десяти календарных дней. Ответ поступает по телефону или в письменном виде через </w:t>
      </w:r>
      <w:r w:rsidR="00D40509">
        <w:t>«</w:t>
      </w:r>
      <w:r w:rsidRPr="00D40509">
        <w:t>Почту России</w:t>
      </w:r>
      <w:r w:rsidR="00D40509">
        <w:t>»</w:t>
      </w:r>
      <w:r w:rsidRPr="00D40509">
        <w:t>.</w:t>
      </w:r>
    </w:p>
    <w:p w14:paraId="23E3D572" w14:textId="77777777" w:rsidR="00463579" w:rsidRPr="00D40509" w:rsidRDefault="00463579" w:rsidP="00463579">
      <w:r w:rsidRPr="00D40509">
        <w:t>Алгоритм оформления:</w:t>
      </w:r>
    </w:p>
    <w:p w14:paraId="76803786" w14:textId="77777777" w:rsidR="00463579" w:rsidRPr="00D40509" w:rsidRDefault="00463579" w:rsidP="00463579">
      <w:r w:rsidRPr="00D40509">
        <w:t xml:space="preserve">    госслужащим следует обратиться в кадровую службу федерального органа, где они замещали должность. Руководитель кадровой службы принимает решение о назначении пенсии за выслугу лет и направляет соответствующее представление в СФР;</w:t>
      </w:r>
    </w:p>
    <w:p w14:paraId="2FDF09F7" w14:textId="77777777" w:rsidR="00463579" w:rsidRPr="00D40509" w:rsidRDefault="00463579" w:rsidP="00463579">
      <w:r w:rsidRPr="00D40509">
        <w:t xml:space="preserve">    военным и работникам силовых ведомств нужно обратиться в пенсионный отдел МВД или своего ведомства;</w:t>
      </w:r>
    </w:p>
    <w:p w14:paraId="1A8E0CFE" w14:textId="77777777" w:rsidR="00463579" w:rsidRPr="00D40509" w:rsidRDefault="00463579" w:rsidP="00463579">
      <w:r w:rsidRPr="00D40509">
        <w:t xml:space="preserve">    космонавтам и летчикам — непосредственно в МФЦ или СФР (онлайн через </w:t>
      </w:r>
      <w:r w:rsidR="00D40509">
        <w:t>«</w:t>
      </w:r>
      <w:r w:rsidRPr="00D40509">
        <w:t>Госуслуги</w:t>
      </w:r>
      <w:r w:rsidR="00D40509">
        <w:t>»</w:t>
      </w:r>
      <w:r w:rsidRPr="00D40509">
        <w:t xml:space="preserve"> или лично).</w:t>
      </w:r>
    </w:p>
    <w:p w14:paraId="569531F5" w14:textId="77777777" w:rsidR="00463579" w:rsidRPr="00D40509" w:rsidRDefault="00463579" w:rsidP="00463579">
      <w:r w:rsidRPr="00D40509">
        <w:t xml:space="preserve">В случае положительного ответа необходимо заполнить заявление о доставке пенсии любым удобным способом — на банковскую карту </w:t>
      </w:r>
      <w:r w:rsidR="00D40509">
        <w:t>«</w:t>
      </w:r>
      <w:r w:rsidRPr="00D40509">
        <w:t>Мир</w:t>
      </w:r>
      <w:r w:rsidR="00D40509">
        <w:t>»</w:t>
      </w:r>
      <w:r w:rsidRPr="00D40509">
        <w:t xml:space="preserve"> выбранной кредитной организации, на дом или лично через </w:t>
      </w:r>
      <w:r w:rsidR="00D40509">
        <w:t>«</w:t>
      </w:r>
      <w:r w:rsidRPr="00D40509">
        <w:t>Почту России</w:t>
      </w:r>
      <w:r w:rsidR="00D40509">
        <w:t>»</w:t>
      </w:r>
      <w:r w:rsidRPr="00D40509">
        <w:t>.</w:t>
      </w:r>
    </w:p>
    <w:p w14:paraId="34AA5AFF" w14:textId="77777777" w:rsidR="00463579" w:rsidRPr="00D40509" w:rsidRDefault="00463579" w:rsidP="00463579">
      <w:hyperlink r:id="rId23" w:history="1">
        <w:r w:rsidRPr="00D40509">
          <w:rPr>
            <w:rStyle w:val="a3"/>
          </w:rPr>
          <w:t>https://www.rbc.ru/quote/news/article/66547fba9a7947e7a0f42d6a</w:t>
        </w:r>
      </w:hyperlink>
      <w:r w:rsidRPr="00D40509">
        <w:t xml:space="preserve"> </w:t>
      </w:r>
    </w:p>
    <w:p w14:paraId="0671BE0F" w14:textId="77777777" w:rsidR="00D360A5" w:rsidRPr="00D40509" w:rsidRDefault="00D360A5" w:rsidP="00D360A5">
      <w:pPr>
        <w:pStyle w:val="2"/>
      </w:pPr>
      <w:bookmarkStart w:id="78" w:name="_Toc183067306"/>
      <w:r w:rsidRPr="00D40509">
        <w:t xml:space="preserve">Радио 1, 20.11.2024, </w:t>
      </w:r>
      <w:r w:rsidR="00D40509">
        <w:t>«</w:t>
      </w:r>
      <w:r w:rsidRPr="00D40509">
        <w:t>Заслужили хорошую жизнь</w:t>
      </w:r>
      <w:r w:rsidR="00D40509">
        <w:t>»</w:t>
      </w:r>
      <w:r w:rsidRPr="00D40509">
        <w:t>: Депутат Никитин рассказал про справедливую пенсию для жителей РФ</w:t>
      </w:r>
      <w:bookmarkEnd w:id="78"/>
    </w:p>
    <w:p w14:paraId="5494FB9F" w14:textId="77777777" w:rsidR="00D360A5" w:rsidRPr="00D40509" w:rsidRDefault="00D360A5" w:rsidP="00EA17F3">
      <w:pPr>
        <w:pStyle w:val="3"/>
      </w:pPr>
      <w:bookmarkStart w:id="79" w:name="_Toc183067307"/>
      <w:r w:rsidRPr="00D40509">
        <w:t>В Союзе пенсионеров Московской области назвали справедливый размер пенсии. По мнению главы Союза пенсионеров Московской области и депутата Мособлдумы Анатолия Никитина, эта сумма должна составлять 40% от средней зарплаты. Депутат также предложил установить минимальный размер пенсии в 35 тысяч рублей.</w:t>
      </w:r>
      <w:bookmarkEnd w:id="79"/>
    </w:p>
    <w:p w14:paraId="7285E91C" w14:textId="77777777" w:rsidR="00D360A5" w:rsidRPr="00D40509" w:rsidRDefault="00D360A5" w:rsidP="00D360A5">
      <w:r w:rsidRPr="00D40509">
        <w:t xml:space="preserve">Депутат Мособлдумы Анатолий Никитин в беседе с </w:t>
      </w:r>
      <w:r w:rsidR="00D40509">
        <w:t>«</w:t>
      </w:r>
      <w:r w:rsidRPr="00D40509">
        <w:t>Радио 1</w:t>
      </w:r>
      <w:r w:rsidR="00D40509">
        <w:t>»</w:t>
      </w:r>
      <w:r w:rsidRPr="00D40509">
        <w:t xml:space="preserve"> заявил, что нужно, чтобы человек, который прожил достойную жизнь, работал на благо государства, растил детей и внуков, оставил хороший след в истории, достойно жил на пенсии.</w:t>
      </w:r>
    </w:p>
    <w:p w14:paraId="164CDC06" w14:textId="77777777" w:rsidR="00D360A5" w:rsidRPr="00D40509" w:rsidRDefault="00D40509" w:rsidP="00D360A5">
      <w:r>
        <w:lastRenderedPageBreak/>
        <w:t>«</w:t>
      </w:r>
      <w:r w:rsidR="00D360A5" w:rsidRPr="00D40509">
        <w:t>Это молодые люди только думают, что пенсия — какое-то недостижимое будущее. Нет, это все приходит быстро. Пенсионеры — люди, создавшие те условия для жизни, в которых мы живем и работаем. Они заслужили хорошую жизнь. Если пенсионер зарабатывал хорошие деньги, почему бы ему не получать хотя бы 40% от тех денег, которые он зарабатывал с учетом индексации</w:t>
      </w:r>
      <w:r>
        <w:t>»</w:t>
      </w:r>
      <w:r w:rsidR="00D360A5" w:rsidRPr="00D40509">
        <w:t xml:space="preserve">, — сказал он. </w:t>
      </w:r>
    </w:p>
    <w:p w14:paraId="1DA1879B" w14:textId="77777777" w:rsidR="00D360A5" w:rsidRPr="00D40509" w:rsidRDefault="00D360A5" w:rsidP="00D360A5">
      <w:r w:rsidRPr="00D40509">
        <w:t>По его мнению, накапливать пенсию сейчас смысла нет.</w:t>
      </w:r>
    </w:p>
    <w:p w14:paraId="58DC0C57" w14:textId="77777777" w:rsidR="00D360A5" w:rsidRPr="00D40509" w:rsidRDefault="00D40509" w:rsidP="00D360A5">
      <w:r>
        <w:t>«</w:t>
      </w:r>
      <w:r w:rsidR="00D360A5" w:rsidRPr="00D40509">
        <w:t>Накопительная пенсия бывает двух типов: государственная и частная. Но смысла откладывать сейчас нет. Мы не знаем, что может быть в стране. Мы же помним дефолт. Мы знаем, что такое деньги, которые лежат без движения. Да, сейчас проценты высокие, потому что ключевая ставка высокая, но и инфляция высокая. На сегодняшний день выгодно положить деньги в банк и получить 22% через год. Таких процентов ни один пенсионный фонд не предлагает, потому что он порядка 7% в год накопление ваше индексирует</w:t>
      </w:r>
      <w:r>
        <w:t>»</w:t>
      </w:r>
      <w:r w:rsidR="00D360A5" w:rsidRPr="00D40509">
        <w:t xml:space="preserve">, — сообщил собеседник. </w:t>
      </w:r>
    </w:p>
    <w:p w14:paraId="0CD246F1" w14:textId="77777777" w:rsidR="00D360A5" w:rsidRPr="00D40509" w:rsidRDefault="00D360A5" w:rsidP="00D360A5">
      <w:r w:rsidRPr="00D40509">
        <w:t>Он добавил, что своим предложением они не требуют дополнительных денег из бюджета, а просят взять деньги из пенсионного фонда и добавить на сегодняшний день пенсионерам и не работающим пенсионерам.</w:t>
      </w:r>
    </w:p>
    <w:p w14:paraId="79F83D26" w14:textId="77777777" w:rsidR="00D360A5" w:rsidRPr="00D40509" w:rsidRDefault="00D40509" w:rsidP="00D360A5">
      <w:r>
        <w:t>«</w:t>
      </w:r>
      <w:r w:rsidR="00D360A5" w:rsidRPr="00D40509">
        <w:t>А также, если не получается это сделать с теми пенсионерами, которых уже нет или которым мы не можем добавить, тогда хотя бы давайте посмотрим, как можно наследовать остатки их пенсии</w:t>
      </w:r>
      <w:r>
        <w:t>»</w:t>
      </w:r>
      <w:r w:rsidR="00D360A5" w:rsidRPr="00D40509">
        <w:t>, — уточнил Никитин.</w:t>
      </w:r>
    </w:p>
    <w:p w14:paraId="434EE473" w14:textId="77777777" w:rsidR="00D360A5" w:rsidRPr="00D40509" w:rsidRDefault="00D360A5" w:rsidP="00D360A5">
      <w:hyperlink r:id="rId24" w:history="1">
        <w:r w:rsidRPr="00D40509">
          <w:rPr>
            <w:rStyle w:val="a3"/>
          </w:rPr>
          <w:t>https://radio1.ru/news/obschestvo/zasluzhili-horoshuyu-zhizn-deputat-nikitin-rasskazal-pro-spravedlivuyu-pensiyu-dlya-zhitelei-rf/</w:t>
        </w:r>
      </w:hyperlink>
      <w:r w:rsidRPr="00D40509">
        <w:t xml:space="preserve"> </w:t>
      </w:r>
    </w:p>
    <w:p w14:paraId="449EDD2E" w14:textId="77777777" w:rsidR="00004530" w:rsidRPr="00D40509" w:rsidRDefault="00004530" w:rsidP="00004530">
      <w:pPr>
        <w:pStyle w:val="2"/>
      </w:pPr>
      <w:bookmarkStart w:id="80" w:name="_Toc183067308"/>
      <w:r w:rsidRPr="00D40509">
        <w:t>Лента.ru, 20.11.2024, Россиянам рассказали о повышении пенсий с 1 января</w:t>
      </w:r>
      <w:bookmarkEnd w:id="80"/>
    </w:p>
    <w:p w14:paraId="1D97F98A" w14:textId="77777777" w:rsidR="00004530" w:rsidRPr="00D40509" w:rsidRDefault="00004530" w:rsidP="00EA17F3">
      <w:pPr>
        <w:pStyle w:val="3"/>
      </w:pPr>
      <w:bookmarkStart w:id="81" w:name="_Toc183067309"/>
      <w:r w:rsidRPr="00D40509">
        <w:t xml:space="preserve">С 1 января 2025 года будут повышены пенсии и работающих, и неработающих россиян. Об этом сообщила член комитета Государственной Думы по труду, социальной политике и делам ветеранов Светлана Бессараб в разговоре с </w:t>
      </w:r>
      <w:r w:rsidR="00D40509">
        <w:t>«</w:t>
      </w:r>
      <w:r w:rsidRPr="00D40509">
        <w:t>Лентой.ру</w:t>
      </w:r>
      <w:r w:rsidR="00D40509">
        <w:t>»</w:t>
      </w:r>
      <w:r w:rsidRPr="00D40509">
        <w:t>.</w:t>
      </w:r>
      <w:bookmarkEnd w:id="81"/>
    </w:p>
    <w:p w14:paraId="6A4CF614" w14:textId="77777777" w:rsidR="00004530" w:rsidRPr="00D40509" w:rsidRDefault="00004530" w:rsidP="00004530">
      <w:r w:rsidRPr="00D40509">
        <w:t>Светлана Бессараб, член комитета Госдумы по труду, социальной политике и делам ветеранов: С 1 января пенсия будет повышена и работающим, и неработающим россиянам. Страховая пенсия будет повышена на 7,3 процента.</w:t>
      </w:r>
    </w:p>
    <w:p w14:paraId="25893A07" w14:textId="77777777" w:rsidR="00004530" w:rsidRPr="00D40509" w:rsidRDefault="00D40509" w:rsidP="00004530">
      <w:r>
        <w:t>«</w:t>
      </w:r>
      <w:r w:rsidR="00004530" w:rsidRPr="00D40509">
        <w:t>Если это не будет соответствовать уровню инфляции, то правительство будет наделено полномочиями по увеличению такой индексации до 1 февраля 2025 года</w:t>
      </w:r>
      <w:r>
        <w:t>»</w:t>
      </w:r>
      <w:r w:rsidR="00004530" w:rsidRPr="00D40509">
        <w:t>, — сообщила Бессараб.</w:t>
      </w:r>
    </w:p>
    <w:p w14:paraId="1C83F370" w14:textId="77777777" w:rsidR="00004530" w:rsidRPr="00D40509" w:rsidRDefault="00004530" w:rsidP="00004530">
      <w:r w:rsidRPr="00D40509">
        <w:t>Также депутат рассказала, что с 1 апреля 2025 года будет увеличена социальная пенсия на 14,75 процента.</w:t>
      </w:r>
    </w:p>
    <w:p w14:paraId="0D1EE1D0" w14:textId="77777777" w:rsidR="00004530" w:rsidRPr="00D40509" w:rsidRDefault="00004530" w:rsidP="00004530">
      <w:r w:rsidRPr="00D40509">
        <w:t>Ранее депутат Мособлдумы, председатель Союза пенсионеров Московской области Анатолий Никитин заявил, что в 2025 году справедливый размер пенсии неработающих граждан России должен быть на уровне 40 процентов от средней заработной платы. По его словам, при таком раскладе москвичи могли бы рассчитывать на пенсию в размере почти 62,5 тысячи рублей, жители Мурманска — 33 тысячи, а пенсионеры Краснодарского края — 30 тысяч.</w:t>
      </w:r>
    </w:p>
    <w:p w14:paraId="74C99F08" w14:textId="77777777" w:rsidR="00004530" w:rsidRPr="00D40509" w:rsidRDefault="00004530" w:rsidP="00004530">
      <w:hyperlink r:id="rId25" w:history="1">
        <w:r w:rsidRPr="00D40509">
          <w:rPr>
            <w:rStyle w:val="a3"/>
          </w:rPr>
          <w:t>https://lenta.ru/news/2024/11/20/povyshenii-pensiy-v-2025-godu/</w:t>
        </w:r>
      </w:hyperlink>
      <w:r w:rsidRPr="00D40509">
        <w:t xml:space="preserve"> </w:t>
      </w:r>
    </w:p>
    <w:p w14:paraId="75E6F821" w14:textId="77777777" w:rsidR="00C11B05" w:rsidRPr="00D40509" w:rsidRDefault="00C11B05" w:rsidP="00C11B05">
      <w:pPr>
        <w:pStyle w:val="2"/>
      </w:pPr>
      <w:bookmarkStart w:id="82" w:name="_Toc183067310"/>
      <w:r w:rsidRPr="00D40509">
        <w:t xml:space="preserve">NEWS.ru, 20.11.2024, Депутат Чаплин: индексацию пенсий могут </w:t>
      </w:r>
      <w:r w:rsidR="00D40509">
        <w:t>«</w:t>
      </w:r>
      <w:r w:rsidRPr="00D40509">
        <w:t>пересчитать</w:t>
      </w:r>
      <w:r w:rsidR="00D40509">
        <w:t>»</w:t>
      </w:r>
      <w:r w:rsidRPr="00D40509">
        <w:t xml:space="preserve"> при инфляции в 8-9%</w:t>
      </w:r>
      <w:bookmarkEnd w:id="82"/>
    </w:p>
    <w:p w14:paraId="38C9FE81" w14:textId="77777777" w:rsidR="00C11B05" w:rsidRPr="00D40509" w:rsidRDefault="00C11B05" w:rsidP="00EA17F3">
      <w:pPr>
        <w:pStyle w:val="3"/>
      </w:pPr>
      <w:bookmarkStart w:id="83" w:name="_Toc183067311"/>
      <w:r w:rsidRPr="00D40509">
        <w:t>В случае продолжения роста потребительских цен власти могут пересмотреть запланированные параметры индексации пенсий россиян в 2025 году, заявил NEWS.ru член комитета Госдумы РФ по бюджету и налогам Никита Чаплин. По его словам, если инфляция превысит прогноз в 7,3% и достигнет 8-9%, механизм перерасчета пенсий может стать вновь актуальным. Власти стремятся к тому, чтобы индексация данных выплат соответствовала текущим экономическим реалиям, добавил он.</w:t>
      </w:r>
      <w:bookmarkEnd w:id="83"/>
    </w:p>
    <w:p w14:paraId="38355FB9" w14:textId="77777777" w:rsidR="00C11B05" w:rsidRPr="00D40509" w:rsidRDefault="00C11B05" w:rsidP="00C11B05">
      <w:r w:rsidRPr="00D40509">
        <w:t>Если инфляция по итогам 2024 года превысит прогноз в 7,3% и достигнет 8% или 9%, механизм перерасчета пенсий может стать вновь актуальным. В таких случаях обычно предпринимаются дополнительные меры для обеспечения социальной справедливости и выполнения своих обязательств перед гражданами, - сказал Чаплин.</w:t>
      </w:r>
    </w:p>
    <w:p w14:paraId="72A61345" w14:textId="77777777" w:rsidR="00C11B05" w:rsidRPr="00D40509" w:rsidRDefault="00C11B05" w:rsidP="00C11B05">
      <w:r w:rsidRPr="00D40509">
        <w:t>По словам депутата, основная задача государства в настоящее время заключается в выполнении всех социальных обязательств и заботе об уязвимых категориях населения. В случае, если инфляция продолжит расти, будут приняты меры для адаптации к новым вызовам и условиям, заверил он.</w:t>
      </w:r>
    </w:p>
    <w:p w14:paraId="683E40D0" w14:textId="77777777" w:rsidR="00C11B05" w:rsidRPr="00D40509" w:rsidRDefault="00C11B05" w:rsidP="00C11B05">
      <w:r w:rsidRPr="00D40509">
        <w:t>Ранее член комитета Госдумы по труду, социальной политике и делам ветеранов Светлана Бессараб рассказала, что с 1 января 2025 года пенсии работающим и неработающим россиянам проиндексируют на 7,3%. При этом социальная пенсия увеличится на 14,75%.</w:t>
      </w:r>
    </w:p>
    <w:p w14:paraId="37496A6B" w14:textId="77777777" w:rsidR="00C11B05" w:rsidRPr="00D40509" w:rsidRDefault="00C11B05" w:rsidP="00C11B05">
      <w:r w:rsidRPr="00D40509">
        <w:t>Глава Союза пенсионеров Московской области Анатолий Никитин заявил, что размер пенсий неработающих граждан в 2025 году должен составлять 40% от среднего уровня зарплат по стране, это будет справедливым значением. По его словам, в России также нужно определить минимальный размер пенсионных выплат - 35 тысяч рублей.</w:t>
      </w:r>
    </w:p>
    <w:p w14:paraId="16845235" w14:textId="77777777" w:rsidR="00C11B05" w:rsidRPr="00D40509" w:rsidRDefault="00C11B05" w:rsidP="00C11B05">
      <w:hyperlink r:id="rId26" w:history="1">
        <w:r w:rsidRPr="00D40509">
          <w:rPr>
            <w:rStyle w:val="a3"/>
          </w:rPr>
          <w:t>https://news.ru/economics/v-gosdume-nazvali-uslovie-dlya-peresmotra-indeksacii-pensij-v-2025-godu/</w:t>
        </w:r>
      </w:hyperlink>
      <w:r w:rsidRPr="00D40509">
        <w:t xml:space="preserve"> </w:t>
      </w:r>
    </w:p>
    <w:p w14:paraId="6D526BBB" w14:textId="77777777" w:rsidR="0035144F" w:rsidRPr="00D40509" w:rsidRDefault="0035144F" w:rsidP="0035144F">
      <w:pPr>
        <w:pStyle w:val="2"/>
      </w:pPr>
      <w:bookmarkStart w:id="84" w:name="_Toc183067312"/>
      <w:r w:rsidRPr="00D40509">
        <w:t>АиФ, 20.11.2024, Есть условия. Эксперт рассказала, когда пенсии составят 40% от зарплаты</w:t>
      </w:r>
      <w:bookmarkEnd w:id="84"/>
    </w:p>
    <w:p w14:paraId="0DFBD2C8" w14:textId="77777777" w:rsidR="0035144F" w:rsidRPr="00D40509" w:rsidRDefault="0035144F" w:rsidP="00EA17F3">
      <w:pPr>
        <w:pStyle w:val="3"/>
      </w:pPr>
      <w:bookmarkStart w:id="85" w:name="_Toc183067313"/>
      <w:r w:rsidRPr="00D40509">
        <w:t xml:space="preserve">Чтобы пенсия составляла 40% от средней заработной плате по стране, эти две выплаты должны индексироваться одинаковыми темпами. Однако это пока трудно реализовать, рассказала aif.ru доцент базовой кафедры Торгово-промышленной палаты РФ </w:t>
      </w:r>
      <w:r w:rsidR="00D40509">
        <w:t>«</w:t>
      </w:r>
      <w:r w:rsidRPr="00D40509">
        <w:t>Управление человеческими ресурсами</w:t>
      </w:r>
      <w:r w:rsidR="00D40509">
        <w:t>»</w:t>
      </w:r>
      <w:r w:rsidRPr="00D40509">
        <w:t xml:space="preserve"> РЭУ имени Плеханова Людмила Иванова-Швец.</w:t>
      </w:r>
      <w:bookmarkEnd w:id="85"/>
    </w:p>
    <w:p w14:paraId="10D20139" w14:textId="77777777" w:rsidR="0035144F" w:rsidRPr="00D40509" w:rsidRDefault="00D40509" w:rsidP="0035144F">
      <w:r>
        <w:t>«</w:t>
      </w:r>
      <w:r w:rsidR="0035144F" w:rsidRPr="00D40509">
        <w:t>В России ратифицирована конвенция Международной организации труда, в которой и определено соотношение пенсии и средней заработной платы не ниже 40%, - отметила эксперт. - Но на самом деле даже те страны, где высокий уровень социального обеспечения, не всегда соблюдают это соотношение. У нас в разные годы это соотношение поднималось выше 30%, но пока до 40 % мы не довели</w:t>
      </w:r>
      <w:r>
        <w:t>»</w:t>
      </w:r>
      <w:r w:rsidR="0035144F" w:rsidRPr="00D40509">
        <w:t>.</w:t>
      </w:r>
    </w:p>
    <w:p w14:paraId="6385B4E2" w14:textId="77777777" w:rsidR="0035144F" w:rsidRPr="00D40509" w:rsidRDefault="0035144F" w:rsidP="0035144F">
      <w:r w:rsidRPr="00D40509">
        <w:lastRenderedPageBreak/>
        <w:t>Да и сейчас это будет непросто, пояснила экономист. Всё дело в слишком быстрых трансформациях на рынке труда.</w:t>
      </w:r>
    </w:p>
    <w:p w14:paraId="1B791F64" w14:textId="77777777" w:rsidR="0035144F" w:rsidRPr="00D40509" w:rsidRDefault="00D40509" w:rsidP="0035144F">
      <w:r>
        <w:t>«</w:t>
      </w:r>
      <w:r w:rsidR="0035144F" w:rsidRPr="00D40509">
        <w:t>В последние годы слишком быстрыми темпами растут заработные платы, индексация пенсий, поэтому разрыв не сокращается, а только увеличивается, - подчеркнула Иванова-Швец. - Чтобы пенсии достигали размера в 40% от средней заработной платы, необходимо увеличивать две эти выплаты пропорционально или одномоментно поднять выплаты пенсионерам почти в два раза</w:t>
      </w:r>
      <w:r>
        <w:t>»</w:t>
      </w:r>
      <w:r w:rsidR="0035144F" w:rsidRPr="00D40509">
        <w:t>.</w:t>
      </w:r>
    </w:p>
    <w:p w14:paraId="10B5F847" w14:textId="77777777" w:rsidR="0035144F" w:rsidRPr="00D40509" w:rsidRDefault="0035144F" w:rsidP="0035144F">
      <w:r w:rsidRPr="00D40509">
        <w:t>Но это огромные дополнительные финансовые расходы бюджета, добавила собеседница. Сейчас на них вряд ли стоит рассчитывать.</w:t>
      </w:r>
    </w:p>
    <w:p w14:paraId="30027111" w14:textId="77777777" w:rsidR="0035144F" w:rsidRPr="00D40509" w:rsidRDefault="0035144F" w:rsidP="0035144F">
      <w:r w:rsidRPr="00D40509">
        <w:t>Однако как минимум в декабре пенсионеры получат двойную выплату. Это коснётся тех граждан, которые получают пенсию в первых числах месяца. Все соцучреждения в начале января работать не будут из-за новогодних праздников, поэтому январские деньги россияне получат в конце декабря. Это нужно учесть при планировании бюджета до февраля.</w:t>
      </w:r>
    </w:p>
    <w:p w14:paraId="68B878A2" w14:textId="77777777" w:rsidR="00A2243E" w:rsidRPr="00D40509" w:rsidRDefault="0035144F" w:rsidP="0035144F">
      <w:hyperlink r:id="rId27" w:history="1">
        <w:r w:rsidRPr="00D40509">
          <w:rPr>
            <w:rStyle w:val="a3"/>
          </w:rPr>
          <w:t>https://aif.ru/money/mymoney/est-usloviya-ekspert-rasskazala-kogda-pensii-sostavyat-40-ot-zarplaty</w:t>
        </w:r>
      </w:hyperlink>
    </w:p>
    <w:p w14:paraId="07F8C86E" w14:textId="77777777" w:rsidR="0035144F" w:rsidRPr="00D40509" w:rsidRDefault="0035144F" w:rsidP="0035144F">
      <w:pPr>
        <w:pStyle w:val="2"/>
      </w:pPr>
      <w:bookmarkStart w:id="86" w:name="_Toc183067314"/>
      <w:r w:rsidRPr="00D40509">
        <w:t>АиФ, 20.11.2024, Пожилых увидели</w:t>
      </w:r>
      <w:bookmarkEnd w:id="86"/>
    </w:p>
    <w:p w14:paraId="6E2DD4D0" w14:textId="77777777" w:rsidR="0035144F" w:rsidRPr="00D40509" w:rsidRDefault="0035144F" w:rsidP="00EA17F3">
      <w:pPr>
        <w:pStyle w:val="3"/>
      </w:pPr>
      <w:bookmarkStart w:id="87" w:name="_Toc183067315"/>
      <w:r w:rsidRPr="00D40509">
        <w:t>По прогнозам, средний размер страховой пенсии по старости к концу года составит около 22 тыс. рублей. А на какую зарплату могут претендовать те, кто решил поработать вместо заслуженного отдыха?</w:t>
      </w:r>
      <w:bookmarkEnd w:id="87"/>
    </w:p>
    <w:p w14:paraId="6F4A19E2" w14:textId="77777777" w:rsidR="0035144F" w:rsidRPr="00D40509" w:rsidRDefault="0035144F" w:rsidP="0035144F">
      <w:r w:rsidRPr="00D40509">
        <w:t>Есть ощущение, что на рынке труда работающих пенсионеров должно прибавиться. Во-первых, рынок испытывает кадровый голод – а в такой ситуации год рождения не рассматривают под лупой. Во-вторых, у людей появился дополнительный стимул – со следующего года работающим пенсионерам возобновляют индексацию страховых пенсий, которую приостановили в 2016-м.</w:t>
      </w:r>
    </w:p>
    <w:p w14:paraId="08CFE9B7" w14:textId="77777777" w:rsidR="0035144F" w:rsidRPr="00D40509" w:rsidRDefault="0035144F" w:rsidP="0035144F">
      <w:r w:rsidRPr="00D40509">
        <w:t xml:space="preserve">БОЛЬШЕ НЕ ВЫПРОВАЖИВАЮТ </w:t>
      </w:r>
    </w:p>
    <w:p w14:paraId="2B45D9A3" w14:textId="77777777" w:rsidR="0035144F" w:rsidRPr="00D40509" w:rsidRDefault="0035144F" w:rsidP="0035144F">
      <w:r w:rsidRPr="00D40509">
        <w:t xml:space="preserve">Конечно, всё зависит от отрасли, специальности, личных качеств, но в целом в России сегодня тенденция такова, что человек, достигший пенсионного возраста, продолжает трудиться, пока может и хочет. </w:t>
      </w:r>
      <w:r w:rsidR="00D40509">
        <w:t>«</w:t>
      </w:r>
      <w:r w:rsidRPr="00D40509">
        <w:t>За опытных специалистов сейчас работодатель держится, – констатирует президент рекрутингового портала Superjob.ru Алексей Захаров. – Если раньше старались людей выпроваживать на заслуженный отдых, освобождая дорогу молодым, то в каких-то компаниях даже действуют программы поощрения невыхода на пенсию, различные бонусы</w:t>
      </w:r>
      <w:r w:rsidR="00D40509">
        <w:t>»</w:t>
      </w:r>
      <w:r w:rsidRPr="00D40509">
        <w:t xml:space="preserve">. Что касается тех, кто уже узнал, каково это – жить только на пенсию и сейчас пытается вернуться на рынок труда, тут всё зависит исключительно от квалификации, подчёркивает Захаров. </w:t>
      </w:r>
      <w:r w:rsidR="00D40509">
        <w:t>«</w:t>
      </w:r>
      <w:r w:rsidRPr="00D40509">
        <w:t>Если, например, человек в последние годы ничего нового не узнавал, просто досиживал, безусловно, молодёжь будет иметь перед ним преимущество</w:t>
      </w:r>
      <w:r w:rsidR="00D40509">
        <w:t>»</w:t>
      </w:r>
      <w:r w:rsidRPr="00D40509">
        <w:t>, – уточняет он.</w:t>
      </w:r>
    </w:p>
    <w:p w14:paraId="31BB18FC" w14:textId="77777777" w:rsidR="0035144F" w:rsidRPr="00D40509" w:rsidRDefault="0035144F" w:rsidP="0035144F">
      <w:r w:rsidRPr="00D40509">
        <w:t xml:space="preserve">В целом кадровые агентства, которые прежде не знали, чем помочь пенсионерам, теперь не игнорируют этот возрастной сегмент. </w:t>
      </w:r>
      <w:r w:rsidR="00D40509">
        <w:t>«</w:t>
      </w:r>
      <w:r w:rsidRPr="00D40509">
        <w:t xml:space="preserve">Мы, например, получаем специальные запросы на сотрудников 55+, так как это поколение способно достигать поставленных целей, – подтверждает эксперт по найму, гендиректор агентства HURMA Recruitment </w:t>
      </w:r>
      <w:r w:rsidRPr="00D40509">
        <w:lastRenderedPageBreak/>
        <w:t>Екатерина Стародубцева. – Есть даже запросы на зрелых операционных директоров и возрастных HR-директоров, которые способны работать со взрослой аудиторией</w:t>
      </w:r>
      <w:r w:rsidR="00D40509">
        <w:t>»</w:t>
      </w:r>
      <w:r w:rsidRPr="00D40509">
        <w:t>.</w:t>
      </w:r>
    </w:p>
    <w:p w14:paraId="71BA3C0F" w14:textId="77777777" w:rsidR="0035144F" w:rsidRPr="00D40509" w:rsidRDefault="00D40509" w:rsidP="0035144F">
      <w:r>
        <w:t>«</w:t>
      </w:r>
      <w:r w:rsidR="0035144F" w:rsidRPr="00D40509">
        <w:t>В первую очередь востребованы те, кто может передать знания молодым</w:t>
      </w:r>
      <w:r>
        <w:t>»</w:t>
      </w:r>
      <w:r w:rsidR="0035144F" w:rsidRPr="00D40509">
        <w:t xml:space="preserve">, – добавляет руководитель информационного отдела независимого профсоюза </w:t>
      </w:r>
      <w:r>
        <w:t>«</w:t>
      </w:r>
      <w:r w:rsidR="0035144F" w:rsidRPr="00D40509">
        <w:t>Новый труд</w:t>
      </w:r>
      <w:r>
        <w:t>»</w:t>
      </w:r>
      <w:r w:rsidR="0035144F" w:rsidRPr="00D40509">
        <w:t xml:space="preserve"> Мария Коледа.</w:t>
      </w:r>
    </w:p>
    <w:p w14:paraId="109EF45A" w14:textId="77777777" w:rsidR="0035144F" w:rsidRPr="00D40509" w:rsidRDefault="0035144F" w:rsidP="0035144F">
      <w:r w:rsidRPr="00D40509">
        <w:t xml:space="preserve">ОТ 30 ДО 200 ТЫСЯЧ </w:t>
      </w:r>
    </w:p>
    <w:p w14:paraId="3D10DF90" w14:textId="77777777" w:rsidR="0035144F" w:rsidRPr="00D40509" w:rsidRDefault="0035144F" w:rsidP="0035144F">
      <w:r w:rsidRPr="00D40509">
        <w:t>Что до конкретных ставок, то, по словам Коледы, пенсионеры, работающие репетиторами или преподавателями, имеют заработок от 30 до 80 тыс. рублей в месяц. Медсёстры или социальные работники могут рассчитывать на 40 тыс. – 100 тыс. рублей.</w:t>
      </w:r>
    </w:p>
    <w:p w14:paraId="4B5D5A00" w14:textId="77777777" w:rsidR="0035144F" w:rsidRPr="00D40509" w:rsidRDefault="0035144F" w:rsidP="0035144F">
      <w:r w:rsidRPr="00D40509">
        <w:t>Есть зарплаты в 200 тыс. рублей. По данным сервиса Superjob, на такие деньги (без оглядки на возраст, лишь бы были соответствующие компетенции) готовы пригласить гендиректора, руководителя строительства и директора по эксплуатации. Самые же распространённые варианты те же, что и раньше: для пенсионеров-мужчин – охранник или вахтёр, для женщин – консьержка.</w:t>
      </w:r>
    </w:p>
    <w:p w14:paraId="57527ECD" w14:textId="77777777" w:rsidR="0035144F" w:rsidRPr="00D40509" w:rsidRDefault="00D40509" w:rsidP="0035144F">
      <w:r>
        <w:t>«</w:t>
      </w:r>
      <w:r w:rsidR="0035144F" w:rsidRPr="00D40509">
        <w:t xml:space="preserve">От пенсионеров, которые работают охранниками в различных магазинах, ТЦ, школах, зачастую требуется не хорошая физическая форма, а постоянное нахождение на посту и ответственное отношение к работе, – утоняет руководитель оперативного штаба независимого профсоюза </w:t>
      </w:r>
      <w:r>
        <w:t>«</w:t>
      </w:r>
      <w:r w:rsidR="0035144F" w:rsidRPr="00D40509">
        <w:t>Новый труд</w:t>
      </w:r>
      <w:r>
        <w:t>»</w:t>
      </w:r>
      <w:r w:rsidR="0035144F" w:rsidRPr="00D40509">
        <w:t xml:space="preserve"> Алексей Неживой. – Зарплату можно найти 50 тыс. рублей в месяц</w:t>
      </w:r>
      <w:r>
        <w:t>»</w:t>
      </w:r>
      <w:r w:rsidR="0035144F" w:rsidRPr="00D40509">
        <w:t>.</w:t>
      </w:r>
    </w:p>
    <w:p w14:paraId="12D75F48" w14:textId="77777777" w:rsidR="0035144F" w:rsidRPr="00D40509" w:rsidRDefault="0035144F" w:rsidP="0035144F">
      <w:r w:rsidRPr="00D40509">
        <w:t>Ещё лучше, если получится трудоустроиться охранником на режимное предприятие. Там бонусом к зарплате, как правило, идут хорошие надбавки, льготы и социальные гарантии.</w:t>
      </w:r>
    </w:p>
    <w:p w14:paraId="6B6F1AB4" w14:textId="77777777" w:rsidR="00FD64CE" w:rsidRPr="00D40509" w:rsidRDefault="00FD64CE" w:rsidP="00FD64CE">
      <w:pPr>
        <w:pStyle w:val="2"/>
      </w:pPr>
      <w:bookmarkStart w:id="88" w:name="_Toc183067316"/>
      <w:r w:rsidRPr="00D40509">
        <w:t>Конкурент, 20.11.2024, Вот это будет справедливо: пенсионерам сказали, какой должна быть их пенсия</w:t>
      </w:r>
      <w:bookmarkEnd w:id="88"/>
    </w:p>
    <w:p w14:paraId="20606B85" w14:textId="77777777" w:rsidR="00FD64CE" w:rsidRPr="00D40509" w:rsidRDefault="00FD64CE" w:rsidP="00EA17F3">
      <w:pPr>
        <w:pStyle w:val="3"/>
      </w:pPr>
      <w:bookmarkStart w:id="89" w:name="_Toc183067317"/>
      <w:r w:rsidRPr="00D40509">
        <w:t>В России рассказали, какой должна быть справедливая пенсия для миллионов пожилых россиян. С новым заявлением выступил депутат Московской областной думы и председатель Союза пенсионеров Московской области Анатолий Никитин.</w:t>
      </w:r>
      <w:bookmarkEnd w:id="89"/>
    </w:p>
    <w:p w14:paraId="2E09982C" w14:textId="77777777" w:rsidR="00FD64CE" w:rsidRPr="00D40509" w:rsidRDefault="00FD64CE" w:rsidP="00FD64CE">
      <w:r w:rsidRPr="00D40509">
        <w:t>При этом он озвучил и предложение по новой методике расчета пенсий. Правда, инициатива депутата затрагивает далеко не всех пенсионеров, а лишь тех из них, кто уже закончил трудовую деятельность.</w:t>
      </w:r>
    </w:p>
    <w:p w14:paraId="411F9512" w14:textId="77777777" w:rsidR="00FD64CE" w:rsidRPr="00D40509" w:rsidRDefault="00FD64CE" w:rsidP="00FD64CE">
      <w:r w:rsidRPr="00D40509">
        <w:t>Как полагает региональный парламентарий, для установки пенсии таким гражданам необходимо брать в основу процент от заработной платы. По словам автора идеи, пенсия будет справедливой лишь тогда, когда ее размер составит 40 процентов от средней заработной платы.</w:t>
      </w:r>
    </w:p>
    <w:p w14:paraId="73A69925" w14:textId="77777777" w:rsidR="00FD64CE" w:rsidRPr="00D40509" w:rsidRDefault="00FD64CE" w:rsidP="00FD64CE">
      <w:r w:rsidRPr="00D40509">
        <w:t>Как подсчитал депутат, введение новой методики расчета сумм пенсионных выплат позволит поднять их до 30-62,5 тыс. руб. в зависимости от региона России.</w:t>
      </w:r>
    </w:p>
    <w:p w14:paraId="594E16D4" w14:textId="77777777" w:rsidR="00FD64CE" w:rsidRPr="00D40509" w:rsidRDefault="00FD64CE" w:rsidP="00FD64CE">
      <w:r w:rsidRPr="00D40509">
        <w:t>Кроме того, Никитин считает, что минимальный размер пенсионных выплат по всей России должен составить  не менее 35 тыс. руб.</w:t>
      </w:r>
    </w:p>
    <w:p w14:paraId="23CE9C8F" w14:textId="77777777" w:rsidR="00FD64CE" w:rsidRPr="00D40509" w:rsidRDefault="00FD64CE" w:rsidP="00FD64CE">
      <w:r w:rsidRPr="00D40509">
        <w:lastRenderedPageBreak/>
        <w:t>Депутат отметил, что такие размеры пенсий помогут россиянам не просто закрывать базовые потребности, но и путешествовать, участвовать в социальной и культурной жизни.</w:t>
      </w:r>
    </w:p>
    <w:p w14:paraId="4858CFBF" w14:textId="77777777" w:rsidR="00FD64CE" w:rsidRPr="00D40509" w:rsidRDefault="00FD64CE" w:rsidP="00FD64CE">
      <w:hyperlink r:id="rId28" w:history="1">
        <w:r w:rsidRPr="00D40509">
          <w:rPr>
            <w:rStyle w:val="a3"/>
          </w:rPr>
          <w:t>https://konkurent.ru/article/72793</w:t>
        </w:r>
      </w:hyperlink>
      <w:r w:rsidRPr="00D40509">
        <w:t xml:space="preserve"> </w:t>
      </w:r>
    </w:p>
    <w:p w14:paraId="1226BC43" w14:textId="77777777" w:rsidR="0035144F" w:rsidRPr="00D40509" w:rsidRDefault="0035144F" w:rsidP="0035144F">
      <w:pPr>
        <w:pStyle w:val="2"/>
      </w:pPr>
      <w:bookmarkStart w:id="90" w:name="_Toc183067318"/>
      <w:r w:rsidRPr="00D40509">
        <w:t>Конкурент, 20.11.2024, Столько получают российские пенсионеры. Размеры неприличные</w:t>
      </w:r>
      <w:bookmarkEnd w:id="90"/>
    </w:p>
    <w:p w14:paraId="73112310" w14:textId="77777777" w:rsidR="0035144F" w:rsidRPr="00D40509" w:rsidRDefault="0035144F" w:rsidP="00EA17F3">
      <w:pPr>
        <w:pStyle w:val="3"/>
      </w:pPr>
      <w:bookmarkStart w:id="91" w:name="_Toc183067319"/>
      <w:r w:rsidRPr="00D40509">
        <w:t>Средняя пенсия по старости работающих пенсионеров в октябре составила 19,2 тыс. руб. - за год она выросла на 10%, говорится в статистике Соцфонда.</w:t>
      </w:r>
      <w:bookmarkEnd w:id="91"/>
    </w:p>
    <w:p w14:paraId="737B1D03" w14:textId="77777777" w:rsidR="0035144F" w:rsidRPr="00D40509" w:rsidRDefault="0035144F" w:rsidP="0035144F">
      <w:r w:rsidRPr="00D40509">
        <w:t>Средняя пенсия неработающих россиян с января по сентябрь увеличилась на 7,3%, до 23,4 тыс. руб. Рост пенсий неработающих примерно соответствует уровню индексации в этом году - в январе выплаты подняли на 7,5%.</w:t>
      </w:r>
    </w:p>
    <w:p w14:paraId="5514F433" w14:textId="77777777" w:rsidR="0035144F" w:rsidRPr="00D40509" w:rsidRDefault="0035144F" w:rsidP="0035144F">
      <w:r w:rsidRPr="00D40509">
        <w:t>Разница между пенсиями работающих и неработающих пенсионеров составила 4,2 тыс. руб. Разрыв постепенно снижается - в III квартале 2023 г. он достигал 5 тыс. руб., а летом 2022-го - 6 тысяч.</w:t>
      </w:r>
    </w:p>
    <w:p w14:paraId="1FE928F6" w14:textId="77777777" w:rsidR="0035144F" w:rsidRPr="00D40509" w:rsidRDefault="0035144F" w:rsidP="0035144F">
      <w:r w:rsidRPr="00D40509">
        <w:t>С нового года возобновится индексация пенсий работающих пенсионеров. Как говорила вице-премьер Татьяна Голикова, минимальное доначисление составит 1,3 тыс. руб. В общей сложности Соцфонд в 2025 г. направит на выплату страховых пенсий свыше 10,9 трлн руб., 106,4 млрд пойдет на индексации выплат работающим пенсионерам.</w:t>
      </w:r>
    </w:p>
    <w:p w14:paraId="4ED53670" w14:textId="77777777" w:rsidR="0035144F" w:rsidRPr="00D40509" w:rsidRDefault="0035144F" w:rsidP="0035144F">
      <w:hyperlink r:id="rId29" w:history="1">
        <w:r w:rsidRPr="00D40509">
          <w:rPr>
            <w:rStyle w:val="a3"/>
          </w:rPr>
          <w:t>https://konkurent.ru/article/72775</w:t>
        </w:r>
      </w:hyperlink>
    </w:p>
    <w:p w14:paraId="6496550E" w14:textId="77777777" w:rsidR="00BC31E2" w:rsidRPr="00D40509" w:rsidRDefault="00BC31E2" w:rsidP="00BC31E2">
      <w:pPr>
        <w:pStyle w:val="2"/>
      </w:pPr>
      <w:bookmarkStart w:id="92" w:name="_Toc183067320"/>
      <w:r w:rsidRPr="00D40509">
        <w:t>DEITA.ru, 20.11.2024, Часть неработающих пенсионеров не получит индексацию в январе</w:t>
      </w:r>
      <w:bookmarkEnd w:id="92"/>
    </w:p>
    <w:p w14:paraId="7649E947" w14:textId="77777777" w:rsidR="00BC31E2" w:rsidRPr="00D40509" w:rsidRDefault="00BC31E2" w:rsidP="00EA17F3">
      <w:pPr>
        <w:pStyle w:val="3"/>
      </w:pPr>
      <w:bookmarkStart w:id="93" w:name="_Toc183067321"/>
      <w:r w:rsidRPr="00D40509">
        <w:t>С 1 января 2025 года на 7,5% в России проиндексируют страховые пенсии неработающих граждан. Об этом представителям старшего поколения рассказали эксперты в сфере пенсионного обеспечения, сообщает ИА DEITA.RU.</w:t>
      </w:r>
      <w:bookmarkEnd w:id="93"/>
    </w:p>
    <w:p w14:paraId="0C8737EA" w14:textId="77777777" w:rsidR="00BC31E2" w:rsidRPr="00D40509" w:rsidRDefault="00BC31E2" w:rsidP="00BC31E2">
      <w:r w:rsidRPr="00D40509">
        <w:t xml:space="preserve">При этом, как отметили специалисты, проиндексированную пенсию в январе получат не все неработающие пенсионеры. Повышения выплат в самом начале года не будет у тех, кто получает социальную пенсию, пишет портал </w:t>
      </w:r>
      <w:r w:rsidR="00D40509">
        <w:t>«</w:t>
      </w:r>
      <w:r w:rsidRPr="00D40509">
        <w:t>PensNews</w:t>
      </w:r>
      <w:r w:rsidR="00D40509">
        <w:t>»</w:t>
      </w:r>
      <w:r w:rsidRPr="00D40509">
        <w:t>.</w:t>
      </w:r>
    </w:p>
    <w:p w14:paraId="3A78CDDF" w14:textId="77777777" w:rsidR="00BC31E2" w:rsidRPr="00D40509" w:rsidRDefault="00BC31E2" w:rsidP="00BC31E2">
      <w:r w:rsidRPr="00D40509">
        <w:t xml:space="preserve">Их выплаты не будут проиндексированы в январе из-за отсутствия у них нужного объёма страхового стажа или минимума пенсионных баллов. Также январской индексации не будет и у получателей государственной пенсий, то есть у </w:t>
      </w:r>
      <w:r w:rsidR="00D40509">
        <w:t>«</w:t>
      </w:r>
      <w:r w:rsidRPr="00D40509">
        <w:t>чернобыльцев</w:t>
      </w:r>
      <w:r w:rsidR="00D40509">
        <w:t>»</w:t>
      </w:r>
      <w:r w:rsidRPr="00D40509">
        <w:t>, лётчиков-испытателей и космонавтов. Эти пенсии будут индексироваться отдельно — с 1 апреля 2025 года.</w:t>
      </w:r>
    </w:p>
    <w:p w14:paraId="477EB0E3" w14:textId="77777777" w:rsidR="00BC31E2" w:rsidRPr="00D40509" w:rsidRDefault="00BC31E2" w:rsidP="00BC31E2">
      <w:r w:rsidRPr="00D40509">
        <w:t>Не стоит ожидать индексации в январе и получателям военных пенсий. К ним относятся военнослужащие по контракту, а также сотрудники других силовых ведомств, получающие пенсию при условии наличия определённой выслуги лет. Их выплаты проиндексируют только в октябре следующего года.</w:t>
      </w:r>
    </w:p>
    <w:p w14:paraId="6254DC3D" w14:textId="77777777" w:rsidR="00BC31E2" w:rsidRPr="00D40509" w:rsidRDefault="00BC31E2" w:rsidP="00BC31E2">
      <w:r w:rsidRPr="00D40509">
        <w:lastRenderedPageBreak/>
        <w:t>Вместе с тем, как отмечают специалисты, с 1 января 2025 года в России возобновляется индексация пенсий работающих пенсионеров. Так что со следующего года им больше не придётся увольняться для того, чтобы начать получать повышенные выплаты.</w:t>
      </w:r>
    </w:p>
    <w:p w14:paraId="6C91FFF3" w14:textId="77777777" w:rsidR="0035144F" w:rsidRPr="00D40509" w:rsidRDefault="00BC31E2" w:rsidP="00BC31E2">
      <w:hyperlink r:id="rId30" w:history="1">
        <w:r w:rsidRPr="00D40509">
          <w:rPr>
            <w:rStyle w:val="a3"/>
          </w:rPr>
          <w:t>https://deita.ru/article/561543</w:t>
        </w:r>
      </w:hyperlink>
    </w:p>
    <w:p w14:paraId="38150DC8" w14:textId="77777777" w:rsidR="00174B3A" w:rsidRPr="00D40509" w:rsidRDefault="00174B3A" w:rsidP="00174B3A">
      <w:pPr>
        <w:pStyle w:val="2"/>
      </w:pPr>
      <w:bookmarkStart w:id="94" w:name="_Toc183067322"/>
      <w:r w:rsidRPr="00D40509">
        <w:t>Пенсия.pro, 20.11.2024, Россиянам придется копить еще больше баллов для выхода на пенсию</w:t>
      </w:r>
      <w:bookmarkEnd w:id="94"/>
    </w:p>
    <w:p w14:paraId="1ABE78EA" w14:textId="77777777" w:rsidR="00174B3A" w:rsidRPr="00D40509" w:rsidRDefault="00174B3A" w:rsidP="00EA17F3">
      <w:pPr>
        <w:pStyle w:val="3"/>
      </w:pPr>
      <w:bookmarkStart w:id="95" w:name="_Toc183067323"/>
      <w:r w:rsidRPr="00D40509">
        <w:t>Необходимое для выхода на пенсию по трудовому стажу минимальное значение индивидуальных пенсионных коэффициентов (ИПК), в 2025 году вырастет — с 28,2 до 30 единиц. То есть для выхода на заслуженных отдых теперь нужно будет работать и зарабатывать еще больше, дал понять Соцфонд России.</w:t>
      </w:r>
      <w:bookmarkEnd w:id="95"/>
    </w:p>
    <w:p w14:paraId="183178E2" w14:textId="77777777" w:rsidR="00174B3A" w:rsidRPr="00D40509" w:rsidRDefault="00174B3A" w:rsidP="00174B3A">
      <w:r w:rsidRPr="00D40509">
        <w:t>С 2025 года стоимость одного ИПК составит 142,76 рубля. Умножив это число на количество баллов и прибавив гарантированную часть (чуть больше 8 000 рублей), можно высчитать примерный размер пенсии.</w:t>
      </w:r>
    </w:p>
    <w:p w14:paraId="3CF741B4" w14:textId="77777777" w:rsidR="00174B3A" w:rsidRPr="00D40509" w:rsidRDefault="00174B3A" w:rsidP="00174B3A">
      <w:r w:rsidRPr="00D40509">
        <w:t>Максимальное количество ИПК, которое может быть получено за один календарный год, — это 10 единиц. Они начисляются за каждый год официальной трудовой или иной деятельности (например, уход за ребенком до полутора лет) на индивидуальный счет гражданина и зависят от взносов, которые работодатель делает в Соцфонд. Чем больше баллов, тем выше государственная пенсия.</w:t>
      </w:r>
    </w:p>
    <w:p w14:paraId="74A07ACB" w14:textId="77777777" w:rsidR="00174B3A" w:rsidRPr="00D40509" w:rsidRDefault="00174B3A" w:rsidP="00174B3A">
      <w:r w:rsidRPr="00D40509">
        <w:t>Однако баллы никак не влияют на негосударственные выплаты, если вы копите на старость с помощью НПФ и/или программы долгосрочных сбережений (ПДС).</w:t>
      </w:r>
    </w:p>
    <w:p w14:paraId="4B93A6DF" w14:textId="77777777" w:rsidR="00174B3A" w:rsidRPr="00D40509" w:rsidRDefault="00174B3A" w:rsidP="00174B3A">
      <w:r w:rsidRPr="00D40509">
        <w:t>Если россиянин достигает пенсионного возраста (округлим: 60 лет для женщин и 65 для мужчин), а баллов для трудовой пенсии не хватает, недостающие ИПК можно купить, сделав взнос в СФР. Однако это весьма недешевое удовольствие: в 2024 году минимальный взнос составит 22 % от 12 МРОТ, это 50 798,8 рубля. Причем это даст прирост всего на 1,038 пенсионного балла. Максимальный размер взноса — 406 391,4 рубля = 8,302 балла.</w:t>
      </w:r>
    </w:p>
    <w:p w14:paraId="7A758CDA" w14:textId="77777777" w:rsidR="00BC31E2" w:rsidRPr="00D40509" w:rsidRDefault="00174B3A" w:rsidP="00174B3A">
      <w:hyperlink r:id="rId31" w:history="1">
        <w:r w:rsidRPr="00D40509">
          <w:rPr>
            <w:rStyle w:val="a3"/>
          </w:rPr>
          <w:t>https://pensiya.pro/news/rossiyanam-pridetsya-kopit-eshhe-bolshe-ballov-dlya-vyhoda-na-pensiyu/</w:t>
        </w:r>
      </w:hyperlink>
    </w:p>
    <w:p w14:paraId="73596954" w14:textId="77777777" w:rsidR="00F334F0" w:rsidRPr="00D40509" w:rsidRDefault="00F334F0" w:rsidP="00F334F0">
      <w:pPr>
        <w:pStyle w:val="2"/>
      </w:pPr>
      <w:bookmarkStart w:id="96" w:name="_Hlk183067057"/>
      <w:bookmarkStart w:id="97" w:name="_Toc183067324"/>
      <w:r w:rsidRPr="00D40509">
        <w:t xml:space="preserve">Российская газета, 20.11.2024, Доцент МГУ Субботин: Россия подступает к </w:t>
      </w:r>
      <w:r>
        <w:t>«</w:t>
      </w:r>
      <w:r w:rsidRPr="00D40509">
        <w:t>серебряной экономике</w:t>
      </w:r>
      <w:r>
        <w:t>»</w:t>
      </w:r>
      <w:bookmarkEnd w:id="97"/>
    </w:p>
    <w:p w14:paraId="482AAFCE" w14:textId="77777777" w:rsidR="00F334F0" w:rsidRPr="00D40509" w:rsidRDefault="00F334F0" w:rsidP="00F334F0">
      <w:pPr>
        <w:pStyle w:val="3"/>
      </w:pPr>
      <w:bookmarkStart w:id="98" w:name="_Toc183067325"/>
      <w:r w:rsidRPr="00D40509">
        <w:t xml:space="preserve">Старение населения не следует воспринимать как проблему, а скорее как ожидаемый демографический вызов, который требует нового подхода к экономическим и социальным стратегиям. Такую точку зрения высказал </w:t>
      </w:r>
      <w:r>
        <w:t>«</w:t>
      </w:r>
      <w:r w:rsidRPr="00D40509">
        <w:t>Российской газете</w:t>
      </w:r>
      <w:r>
        <w:t>»</w:t>
      </w:r>
      <w:r w:rsidRPr="00D40509">
        <w:t xml:space="preserve"> доцент кафедры демографии МГУ имени М.В. Ломоносова, кандидат социологических наук Александр Субботин.</w:t>
      </w:r>
      <w:bookmarkEnd w:id="98"/>
    </w:p>
    <w:p w14:paraId="28A74815" w14:textId="77777777" w:rsidR="00F334F0" w:rsidRPr="00D40509" w:rsidRDefault="00F334F0" w:rsidP="00F334F0">
      <w:r>
        <w:t>«</w:t>
      </w:r>
      <w:r w:rsidRPr="00D40509">
        <w:t xml:space="preserve">Мы должны адаптироваться к этому изменению, увидев в нем возможность для инноваций и улучшения качества жизни. Например, Япония, как самая старая страна в мире, замещает рабочую силу роботами и вывозит промышленные предприятия за пределы страны. Эффект пенсионной реформы по сдерживанию роста численности </w:t>
      </w:r>
      <w:r w:rsidRPr="00D40509">
        <w:lastRenderedPageBreak/>
        <w:t>пенсионеров в России продлится до 2028 года, далее численность лиц старше трудоспособного возраста вновь начнет планомерно расти. Согласно среднему прогнозу Росстата, к 2045 году численность пенсионеров снова превысит 37 млн человек (27% от общей численности населения), что станет следующим локальным максимумом</w:t>
      </w:r>
      <w:r>
        <w:t>»</w:t>
      </w:r>
      <w:r w:rsidRPr="00D40509">
        <w:t>, - пояснил эксперт.</w:t>
      </w:r>
    </w:p>
    <w:p w14:paraId="348503BA" w14:textId="77777777" w:rsidR="00F334F0" w:rsidRPr="00D40509" w:rsidRDefault="00F334F0" w:rsidP="00F334F0">
      <w:r w:rsidRPr="00D40509">
        <w:t>Сейчас, отметил он, этот показатель находится на уровне 36 млн человек и к 2028 году снизится до 32,5 млн человек (22,5%), что станет минимальным значением на ближайшее демографическое поколение. Но уже сейчас необходимо проводить политику стимулирования активного долголетия, поскольку оно во многом определяется самосохранительным поведением и зависит от образа жизни, а также подталкивать работодателей оказывать желающим работать всяческую поддержку.</w:t>
      </w:r>
    </w:p>
    <w:p w14:paraId="6DECD5F4" w14:textId="77777777" w:rsidR="00F334F0" w:rsidRPr="00D40509" w:rsidRDefault="00F334F0" w:rsidP="00F334F0">
      <w:r>
        <w:t>«</w:t>
      </w:r>
      <w:r w:rsidRPr="00D40509">
        <w:t xml:space="preserve">Россия подступает к </w:t>
      </w:r>
      <w:r>
        <w:t>«</w:t>
      </w:r>
      <w:r w:rsidRPr="00D40509">
        <w:t>серебряной экономике</w:t>
      </w:r>
      <w:r>
        <w:t>»</w:t>
      </w:r>
      <w:r w:rsidRPr="00D40509">
        <w:t>. Наибольший спрос будет на товары и услуги, ориентированные на пожилых людей. Социальные взаимодействия будут направлены на удовлетворение потребностей пожилых граждан, что приведет к формированию совершенно новой экономики. А учитывая тенденцию на атомизацию общества (рост одиночных домохозяйств), одной из востребованных профессий станет социальный работник</w:t>
      </w:r>
      <w:r>
        <w:t>»</w:t>
      </w:r>
      <w:r w:rsidRPr="00D40509">
        <w:t>, - добавил Субботин.</w:t>
      </w:r>
    </w:p>
    <w:p w14:paraId="31D8D43F" w14:textId="77777777" w:rsidR="00F334F0" w:rsidRPr="00D40509" w:rsidRDefault="00F334F0" w:rsidP="00F334F0">
      <w:hyperlink r:id="rId32" w:history="1">
        <w:r w:rsidRPr="00D40509">
          <w:rPr>
            <w:rStyle w:val="a3"/>
          </w:rPr>
          <w:t>https://rg.ru/2024/11/20/docent-mgu-subbotin-rossiia-podstupaet-k-serebrianoj-ekonomike.html</w:t>
        </w:r>
      </w:hyperlink>
    </w:p>
    <w:bookmarkEnd w:id="96"/>
    <w:p w14:paraId="0AA99138" w14:textId="77777777" w:rsidR="00174B3A" w:rsidRPr="00D40509" w:rsidRDefault="00174B3A" w:rsidP="00174B3A"/>
    <w:p w14:paraId="2634B4F0" w14:textId="77777777" w:rsidR="00111D7C" w:rsidRPr="00D40509" w:rsidRDefault="00111D7C" w:rsidP="00111D7C">
      <w:pPr>
        <w:pStyle w:val="251"/>
      </w:pPr>
      <w:bookmarkStart w:id="99" w:name="_Toc99271704"/>
      <w:bookmarkStart w:id="100" w:name="_Toc99318656"/>
      <w:bookmarkStart w:id="101" w:name="_Toc165991076"/>
      <w:bookmarkStart w:id="102" w:name="_Toc62681899"/>
      <w:bookmarkStart w:id="103" w:name="_Toc183067326"/>
      <w:bookmarkEnd w:id="24"/>
      <w:bookmarkEnd w:id="25"/>
      <w:bookmarkEnd w:id="26"/>
      <w:bookmarkEnd w:id="46"/>
      <w:r w:rsidRPr="00D40509">
        <w:lastRenderedPageBreak/>
        <w:t>НОВОСТИ МАКРОЭКОНОМИКИ</w:t>
      </w:r>
      <w:bookmarkEnd w:id="99"/>
      <w:bookmarkEnd w:id="100"/>
      <w:bookmarkEnd w:id="101"/>
      <w:bookmarkEnd w:id="103"/>
    </w:p>
    <w:p w14:paraId="4F0E1961" w14:textId="77777777" w:rsidR="00A93019" w:rsidRPr="00D40509" w:rsidRDefault="00A93019" w:rsidP="00A93019">
      <w:pPr>
        <w:pStyle w:val="2"/>
      </w:pPr>
      <w:bookmarkStart w:id="104" w:name="_Hlk183067102"/>
      <w:bookmarkStart w:id="105" w:name="_Toc183067327"/>
      <w:r w:rsidRPr="00D40509">
        <w:t>Коммерсантъ FM, 20.11.2024, Ожидания ЦБ сверили с реальностью</w:t>
      </w:r>
      <w:bookmarkEnd w:id="105"/>
    </w:p>
    <w:p w14:paraId="6AF06EEF" w14:textId="77777777" w:rsidR="00A93019" w:rsidRPr="00D40509" w:rsidRDefault="00A93019" w:rsidP="00EA17F3">
      <w:pPr>
        <w:pStyle w:val="3"/>
      </w:pPr>
      <w:bookmarkStart w:id="106" w:name="_Toc183067328"/>
      <w:r w:rsidRPr="00D40509">
        <w:t>Ценовые ожидания бизнеса растут третий месяц подряд. В ноябре они достигли максимума с мая 2022-го, следует из опроса компаний, который провел Центробанк. Его участники заявили, что будут повышать цены на свою продукцию в том числе из-за роста с января налоговой нагрузки, удорожания ЖКХ и роста минимального размера оплаты труда. Также бизнес готовится к заметному ухудшению условий кредитования.</w:t>
      </w:r>
      <w:bookmarkEnd w:id="106"/>
      <w:r w:rsidRPr="00D40509">
        <w:t xml:space="preserve"> </w:t>
      </w:r>
    </w:p>
    <w:p w14:paraId="24DCB8B8" w14:textId="77777777" w:rsidR="00A93019" w:rsidRPr="00D40509" w:rsidRDefault="00A93019" w:rsidP="00A93019">
      <w:r w:rsidRPr="00D40509">
        <w:t>В ноябре стоимость денег достигла самого высокого значения за всю историю замеров, то есть с 2014 года. Несмотря на это, Центробанк рассчитывает, что уже в 2025 году темпы роста цен опустятся до 4,5-5%. Об этом заявила глава регулятора Эльвира Набиуллина на пленарном заседании в Госдуме 19 ноября.</w:t>
      </w:r>
    </w:p>
    <w:p w14:paraId="42A721EB" w14:textId="77777777" w:rsidR="00A93019" w:rsidRPr="00D40509" w:rsidRDefault="00A93019" w:rsidP="00A93019">
      <w:r w:rsidRPr="00D40509">
        <w:t>Снизится ли инфляция в 2025 году</w:t>
      </w:r>
    </w:p>
    <w:p w14:paraId="20CCFB41" w14:textId="77777777" w:rsidR="00A93019" w:rsidRPr="00D40509" w:rsidRDefault="00A93019" w:rsidP="00A93019">
      <w:r w:rsidRPr="00D40509">
        <w:t>Ценовые ожидания бизнеса растут третий месяц подряд. В ноябре они достигли максимума с мая 2022-го, следует из опроса компаний, который провел Центробанк. Его участники заявили, что будут повышать цены на свою продукцию в том числе из-за роста с января налоговой нагрузки, удорожания ЖКХ и роста минимального размера оплаты труда. Также бизнес готовится к заметному ухудшению условий кредитования. В ноябре стоимость денег достигла самого высокого значения за всю историю замеров, то есть с 2014 года. Несмотря на это, Центробанк рассчитывает, что уже в 2025 году темпы роста цен опустятся до 4,5-5%. Об этом заявила глава регулятора Эльвира Набиуллина на пленарном заседании в Госдуме 19 ноября.</w:t>
      </w:r>
    </w:p>
    <w:p w14:paraId="72CFC001" w14:textId="77777777" w:rsidR="00A93019" w:rsidRPr="00D40509" w:rsidRDefault="00A93019" w:rsidP="00A93019">
      <w:r w:rsidRPr="00D40509">
        <w:t xml:space="preserve">Насколько оправданы ожидания Банка России? Главный экономист Консалтинговой компании </w:t>
      </w:r>
      <w:r w:rsidR="00D40509">
        <w:t>«</w:t>
      </w:r>
      <w:r w:rsidRPr="00D40509">
        <w:t>ПФ-Капитал</w:t>
      </w:r>
      <w:r w:rsidR="00D40509">
        <w:t>»</w:t>
      </w:r>
      <w:r w:rsidRPr="00D40509">
        <w:t xml:space="preserve"> Евгений Надоршин считает, что это возможно, но ценой замедления экономики: </w:t>
      </w:r>
      <w:r w:rsidR="00D40509">
        <w:t>«</w:t>
      </w:r>
      <w:r w:rsidRPr="00D40509">
        <w:t>Я не оптимист по экономическому росту, и не ожидаю, что он сохранится ни при текущих ставка, не говоря уже, что, исходя из риторики ЦБ, ухудшится. Ожидаю повышение ключевой ставки не на один процентный пункт, а на два. Поэтому с растущей в ближайшие месяцы экономикой мы можем получить даже и 25-процентную ставку.</w:t>
      </w:r>
    </w:p>
    <w:p w14:paraId="2705ECF0" w14:textId="77777777" w:rsidR="00A93019" w:rsidRPr="00D40509" w:rsidRDefault="00A93019" w:rsidP="00A93019">
      <w:r w:rsidRPr="00D40509">
        <w:t>Я, если честно, совершенно не понимаю, как в этих условиях может развиваться российская экономика. Возможности и ресурсов развития, к сожалению, не вижу. Есть рецессия, по крайней мере, пока. И как результат, собственно, рецессия и должна решить основные проблемы с инфляцией с оговоркой про то, что тарифы ЖКХ и вот сейчас то, что мы наблюдаем в части повышения цен, например, на грузовые и пассажирские перевозки, конечно не создадут какого-то совсем уж краткосрочно ориентированного поведения в бизнесе, и мы не увидим вот какую-то попытку переложить все издержки на потребителя.</w:t>
      </w:r>
    </w:p>
    <w:p w14:paraId="295F6F5B" w14:textId="77777777" w:rsidR="00A93019" w:rsidRPr="00D40509" w:rsidRDefault="00A93019" w:rsidP="00A93019">
      <w:r w:rsidRPr="00D40509">
        <w:t xml:space="preserve">Вот если поведение бизнеса в этих обстоятельствах окажется относительно здоровым, то Центральный банк, подняв ставку, даже не обязательно до 25%, вполне сможет </w:t>
      </w:r>
      <w:r w:rsidRPr="00D40509">
        <w:lastRenderedPageBreak/>
        <w:t>достичь нужного ему ориентира, но ценой не просто отсутствующего роста, а отрицательных темпов. Причем я не жду, что эти темпы придут только на 2025 год</w:t>
      </w:r>
      <w:r w:rsidR="00D40509">
        <w:t>»</w:t>
      </w:r>
      <w:r w:rsidRPr="00D40509">
        <w:t>.</w:t>
      </w:r>
    </w:p>
    <w:p w14:paraId="4D3FCA6D" w14:textId="77777777" w:rsidR="00A93019" w:rsidRPr="00D40509" w:rsidRDefault="00A93019" w:rsidP="00A93019">
      <w:r w:rsidRPr="00D40509">
        <w:t xml:space="preserve">Как считает глава ЦБ Эльвира Набиуллина, сейчас экономика находится в переломной точке. В ближайшие месяцы ситуация изменится, и тогда начнется снижение темпов роста цен. Это станет подтверждением того, что денежно-кредитная политика достигла своей жесткости, чтобы влиять на инфляцию. Но ключевая ставка останется двузначной до конца 2026-го. Правда, в текущих условиях приблизиться к уровню инфляции даже в 5% — слишком амбициозная цель, уверен управляющий директор по валидации агентства </w:t>
      </w:r>
      <w:r w:rsidR="00D40509">
        <w:t>«</w:t>
      </w:r>
      <w:r w:rsidRPr="00D40509">
        <w:t>Эксперт РА</w:t>
      </w:r>
      <w:r w:rsidR="00D40509">
        <w:t>»</w:t>
      </w:r>
      <w:r w:rsidRPr="00D40509">
        <w:t xml:space="preserve"> Юрий Беликов: </w:t>
      </w:r>
      <w:r w:rsidR="00D40509">
        <w:t>«</w:t>
      </w:r>
      <w:r w:rsidRPr="00D40509">
        <w:t>Показатели по инфляции, которые называет Центробанк, это в первую очередь таргет, а не прогноз, то есть это то, к чему необходимо стремиться на долгосрочном временном горизонте.</w:t>
      </w:r>
    </w:p>
    <w:p w14:paraId="2345A5AB" w14:textId="77777777" w:rsidR="00A93019" w:rsidRPr="00D40509" w:rsidRDefault="00A93019" w:rsidP="00A93019">
      <w:r w:rsidRPr="00D40509">
        <w:t>Сможем ли достигнуть этого таргета в 2025-м? Честно говоря, сомнительно, потому что пока эффективность воздействия жесткой денежно-кредитной политики на инфляцию невысокая, да и сам Банк России признает, что та же ключевая ставка на инфляцию воздействует в лучшем случае с большим лагом. И здесь даже снижение спроса и ограничение розничного кредитования влияет на инфляцию не так сильно, как хотелось бы. Поэтому движение к таргету, безусловно, будет, но выход на целевую инфляцию в следующем году — цель, которая пока вызывает сомнения</w:t>
      </w:r>
      <w:r w:rsidR="00D40509">
        <w:t>»</w:t>
      </w:r>
      <w:r w:rsidRPr="00D40509">
        <w:t>.</w:t>
      </w:r>
    </w:p>
    <w:p w14:paraId="41F16471" w14:textId="77777777" w:rsidR="00A93019" w:rsidRPr="00D40509" w:rsidRDefault="00A93019" w:rsidP="00A93019">
      <w:r w:rsidRPr="00D40509">
        <w:t>Как сообщила глава ЦБ Эльвира Набиуллина, несмотря на рост ключевой ставки корпоративное кредитования продолжает расти, в то время, как выдача займов населению замедляется. Набиуллина объяснила это тем, что бизнесу нужны средства для завершения своих инвестиционных проектов. И минимизировать риски закредитованности предприятий Банк России будет с помощью ужесточения регулирования.</w:t>
      </w:r>
    </w:p>
    <w:p w14:paraId="64A71C4A" w14:textId="77777777" w:rsidR="00A93019" w:rsidRPr="00D40509" w:rsidRDefault="00A93019" w:rsidP="00A93019">
      <w:hyperlink r:id="rId33" w:history="1">
        <w:r w:rsidRPr="00D40509">
          <w:rPr>
            <w:rStyle w:val="a3"/>
          </w:rPr>
          <w:t>https://www.kommersant.ru/doc/7312386</w:t>
        </w:r>
      </w:hyperlink>
      <w:r w:rsidRPr="00D40509">
        <w:t xml:space="preserve"> </w:t>
      </w:r>
    </w:p>
    <w:p w14:paraId="79F52988" w14:textId="77777777" w:rsidR="00AB6127" w:rsidRPr="00D40509" w:rsidRDefault="00AB6127" w:rsidP="00AB6127">
      <w:pPr>
        <w:pStyle w:val="2"/>
      </w:pPr>
      <w:bookmarkStart w:id="107" w:name="_Toc183067329"/>
      <w:bookmarkEnd w:id="104"/>
      <w:r w:rsidRPr="00D40509">
        <w:t>РИА Новости, 20.11.2024, ФНС напомнила россиянам о необходимости заплатить налог на доход от банковских вкладов</w:t>
      </w:r>
      <w:bookmarkEnd w:id="107"/>
    </w:p>
    <w:p w14:paraId="4D4740C3" w14:textId="77777777" w:rsidR="00AB6127" w:rsidRPr="00D40509" w:rsidRDefault="00AB6127" w:rsidP="00EA17F3">
      <w:pPr>
        <w:pStyle w:val="3"/>
      </w:pPr>
      <w:bookmarkStart w:id="108" w:name="_Toc183067330"/>
      <w:r w:rsidRPr="00D40509">
        <w:t>Федеральная налоговая служба России (ФНС) напомнила россиянам о необходимости заплатить налог на доходы от банковских вкладов, если общая сумма этих доходов за 2023 год превысила 150 тысяч рублей.</w:t>
      </w:r>
      <w:bookmarkEnd w:id="108"/>
    </w:p>
    <w:p w14:paraId="418C6A82" w14:textId="77777777" w:rsidR="00AB6127" w:rsidRPr="00D40509" w:rsidRDefault="00D40509" w:rsidP="00AB6127">
      <w:r>
        <w:t>«</w:t>
      </w:r>
      <w:r w:rsidR="00AB6127" w:rsidRPr="00D40509">
        <w:t>В этом году граждане впервые получили в налоговом уведомлении расчет НДФЛ с доходов, полученных в виде процентов по вкладам (остаткам на счетах) в российских банках</w:t>
      </w:r>
      <w:r>
        <w:t>»</w:t>
      </w:r>
      <w:r w:rsidR="00AB6127" w:rsidRPr="00D40509">
        <w:t>, - говорится в сообщении на сайте службы.</w:t>
      </w:r>
    </w:p>
    <w:p w14:paraId="42DEC5C2" w14:textId="77777777" w:rsidR="00AB6127" w:rsidRPr="00D40509" w:rsidRDefault="00AB6127" w:rsidP="00AB6127">
      <w:r w:rsidRPr="00D40509">
        <w:t xml:space="preserve">Налог был введен еще в 2021 году, но почти сразу на него был введен временный мораторий, и доходы по банковским вкладам, полученные в 2021 и 2022 годах, не облагались НДФЛ. </w:t>
      </w:r>
      <w:r w:rsidR="00D40509">
        <w:t>«</w:t>
      </w:r>
      <w:r w:rsidRPr="00D40509">
        <w:t>Процентные доходы, полученные в 2023 году, уже подлежат налогообложению</w:t>
      </w:r>
      <w:r w:rsidR="00D40509">
        <w:t>»</w:t>
      </w:r>
      <w:r w:rsidRPr="00D40509">
        <w:t>, - напоминает служба.</w:t>
      </w:r>
    </w:p>
    <w:p w14:paraId="775576B8" w14:textId="77777777" w:rsidR="00AB6127" w:rsidRPr="00D40509" w:rsidRDefault="00D40509" w:rsidP="00AB6127">
      <w:r>
        <w:t>«</w:t>
      </w:r>
      <w:r w:rsidR="00AB6127" w:rsidRPr="00D40509">
        <w:t>Налогоплательщику не нужно ничего самостоятельно рассчитывать. Налоговые органы получают необходимую информацию от банков и Агентства по страхованию вкладов, после чего рассчитывают сумму налога</w:t>
      </w:r>
      <w:r>
        <w:t>»</w:t>
      </w:r>
      <w:r w:rsidR="00AB6127" w:rsidRPr="00D40509">
        <w:t xml:space="preserve">, - отмечает ведомство. Сумма налога </w:t>
      </w:r>
      <w:r w:rsidR="00AB6127" w:rsidRPr="00D40509">
        <w:lastRenderedPageBreak/>
        <w:t>для уплаты указана в налоговом уведомлении, которое ФНС рассылает налогоплательщикам.</w:t>
      </w:r>
    </w:p>
    <w:p w14:paraId="24B8697B" w14:textId="77777777" w:rsidR="00AB6127" w:rsidRPr="00D40509" w:rsidRDefault="00AB6127" w:rsidP="00AB6127">
      <w:r w:rsidRPr="00D40509">
        <w:t xml:space="preserve">ФНС напоминает, что, по действующим нормам, налогом облагается общая годовая сумма процентного дохода за минусом необлагаемой суммы, которая зависит от ключевой ставки Банка России. </w:t>
      </w:r>
      <w:r w:rsidR="00D40509">
        <w:t>«</w:t>
      </w:r>
      <w:r w:rsidRPr="00D40509">
        <w:t>Учитывая, что за 2023 год максимальное значение такой ключевой ставки было определено по состоянию на 1 ноября в размере 15%, необлагаемый минимум за 2023 год составляет 150 тысяч рублей. Только полученный сверх этой суммы совокупный процентный доход подлежит налогообложению</w:t>
      </w:r>
      <w:r w:rsidR="00D40509">
        <w:t>»</w:t>
      </w:r>
      <w:r w:rsidRPr="00D40509">
        <w:t>, - подчеркивается в сообщении.</w:t>
      </w:r>
    </w:p>
    <w:p w14:paraId="51B3583E" w14:textId="77777777" w:rsidR="00AB6127" w:rsidRPr="00D40509" w:rsidRDefault="00D40509" w:rsidP="00AB6127">
      <w:r>
        <w:t>«</w:t>
      </w:r>
      <w:r w:rsidR="00AB6127" w:rsidRPr="00D40509">
        <w:t>Например, в 2023 году гражданин по одному вкладу и одному накопительному счету получил доход 200 тысяч рублей. Таким образом, под налогообложение попадает сумма 50 тысяч рублей. НДФЛ по ставке 13% составит 6500 рублей. Если совокупный годовой доход налогоплательщика превышает 5 миллионов рублей, то ставка по НДФЛ составит 15% (7500 рублей). А если доход по вкладам не превысил 150 тысяч рублей, то налога не возникает</w:t>
      </w:r>
      <w:r>
        <w:t>»</w:t>
      </w:r>
      <w:r w:rsidR="00AB6127" w:rsidRPr="00D40509">
        <w:t>, - разъясняет служба.</w:t>
      </w:r>
    </w:p>
    <w:p w14:paraId="684D2414" w14:textId="77777777" w:rsidR="00AB6127" w:rsidRPr="00D40509" w:rsidRDefault="00AB6127" w:rsidP="00AB6127">
      <w:r w:rsidRPr="00D40509">
        <w:t>Заплатить налог необходимо не позднее 2 декабря 2024 года.</w:t>
      </w:r>
    </w:p>
    <w:p w14:paraId="726E0022" w14:textId="77777777" w:rsidR="00AB6127" w:rsidRPr="00D40509" w:rsidRDefault="00AB6127" w:rsidP="00AB6127">
      <w:pPr>
        <w:pStyle w:val="2"/>
      </w:pPr>
      <w:bookmarkStart w:id="109" w:name="_Hlk183067127"/>
      <w:bookmarkStart w:id="110" w:name="_Toc183067331"/>
      <w:r w:rsidRPr="00D40509">
        <w:t>РИА Новости, 20.11.2024, СФ уточнил критерии для розничных квалифицированных инвесторов</w:t>
      </w:r>
      <w:bookmarkEnd w:id="110"/>
    </w:p>
    <w:p w14:paraId="010815A3" w14:textId="77777777" w:rsidR="00AB6127" w:rsidRPr="00D40509" w:rsidRDefault="00AB6127" w:rsidP="00EA17F3">
      <w:pPr>
        <w:pStyle w:val="3"/>
      </w:pPr>
      <w:bookmarkStart w:id="111" w:name="_Toc183067332"/>
      <w:r w:rsidRPr="00D40509">
        <w:t>Сенаторы одобрили закон, вводящий новые критерии для получения физлицами статуса квалифицированного инвестора, а также позволяющий использовать комбинацию разных критериев.</w:t>
      </w:r>
      <w:bookmarkEnd w:id="111"/>
    </w:p>
    <w:p w14:paraId="2E32B64E" w14:textId="77777777" w:rsidR="00AB6127" w:rsidRPr="00D40509" w:rsidRDefault="00AB6127" w:rsidP="00AB6127">
      <w:r w:rsidRPr="00D40509">
        <w:t>В качестве новых критериев для получения физлицом статуса квалифицированного инвестора вводятся критерии ученой степени и дохода.</w:t>
      </w:r>
    </w:p>
    <w:p w14:paraId="6A8888A1" w14:textId="77777777" w:rsidR="00AB6127" w:rsidRPr="00D40509" w:rsidRDefault="00AB6127" w:rsidP="00AB6127">
      <w:r w:rsidRPr="00D40509">
        <w:t>Одновременно допускается использование комбинаций разных критериев в целях большей привязки системы квалификации к знаниям инвесторов. Например, можно сочетать критерий дохода или размера имущества с критериями опыта работы на финансовом рынке, образования или ученой степени.</w:t>
      </w:r>
    </w:p>
    <w:p w14:paraId="12EE79F8" w14:textId="77777777" w:rsidR="00AB6127" w:rsidRPr="00D40509" w:rsidRDefault="00AB6127" w:rsidP="00AB6127">
      <w:r w:rsidRPr="00D40509">
        <w:t>Виды имущества и дохода, порядок расчета их размеров, требования к образованию и ученой степени определит Банк России.</w:t>
      </w:r>
    </w:p>
    <w:p w14:paraId="61C9E96C" w14:textId="77777777" w:rsidR="00AB6127" w:rsidRPr="00D40509" w:rsidRDefault="00AB6127" w:rsidP="00AB6127">
      <w:r w:rsidRPr="00D40509">
        <w:t>Закон также устанавливает, что при получении статуса квалифицированного инвестора гражданин должен быть письменно уведомлен о том, что совершение сделок может быть связано с повышенными рисками финансовых потерь, в том числе превышающих сумму инвестиций.</w:t>
      </w:r>
    </w:p>
    <w:p w14:paraId="1A0CB545" w14:textId="77777777" w:rsidR="00AB6127" w:rsidRPr="00D40509" w:rsidRDefault="00AB6127" w:rsidP="00AB6127">
      <w:r w:rsidRPr="00D40509">
        <w:t xml:space="preserve">В перечень финансовых инструментов, доступных неквалифицированным инвесторам только после тестирования, включаются облигации с залоговым обеспечением денежными требованиями (за исключением облигаций с ипотечным покрытием и облигаций, выпущенных специализированным обществом проектного финансирования, все доли в котором принадлежат РФ или госкорпорации </w:t>
      </w:r>
      <w:r w:rsidR="00D40509">
        <w:t>«</w:t>
      </w:r>
      <w:r w:rsidRPr="00D40509">
        <w:t>ВЭБ.РФ</w:t>
      </w:r>
      <w:r w:rsidR="00D40509">
        <w:t>»</w:t>
      </w:r>
      <w:r w:rsidRPr="00D40509">
        <w:t xml:space="preserve"> либо АО </w:t>
      </w:r>
      <w:r w:rsidR="00D40509">
        <w:t>«</w:t>
      </w:r>
      <w:r w:rsidRPr="00D40509">
        <w:t>Дом.РФ</w:t>
      </w:r>
      <w:r w:rsidR="00D40509">
        <w:t>»</w:t>
      </w:r>
      <w:r w:rsidRPr="00D40509">
        <w:t>).</w:t>
      </w:r>
    </w:p>
    <w:p w14:paraId="7492D428" w14:textId="77777777" w:rsidR="00AB6127" w:rsidRPr="00D40509" w:rsidRDefault="00AB6127" w:rsidP="00AB6127">
      <w:r w:rsidRPr="00D40509">
        <w:t xml:space="preserve">Положительный результат тестирования физлица будет действовать в течение пяти лет со дня его получения или со дня совершения последней сделки, требующей </w:t>
      </w:r>
      <w:r w:rsidRPr="00D40509">
        <w:lastRenderedPageBreak/>
        <w:t>тестирования (либо последнего поручения на ее совершение) - в зависимости от того, какое событие наступило позднее. Аналогичный срок будет действовать и для граждан, совершающих сделки через финансовые платформы. Для лиц, прошедших тестирование до даты вступления закона в силу, пятилетний срок будет отсчитываться с этой даты.</w:t>
      </w:r>
    </w:p>
    <w:p w14:paraId="3FE1F64C" w14:textId="77777777" w:rsidR="00AB6127" w:rsidRPr="00D40509" w:rsidRDefault="00AB6127" w:rsidP="00AB6127">
      <w:r w:rsidRPr="00D40509">
        <w:t>Кроме того, со 100 до 300 тысяч рублей повышается порог, в рамках которого неквалифицированный инвестор может настоять на сделке со сложным финансовым инструментом, даже если не прошел тестирование. При этом сохраняется обязанность брокера и управляющей компании предупредить инвестора о рисках и получить у него подтверждение, что он их принимает.</w:t>
      </w:r>
    </w:p>
    <w:p w14:paraId="5AB28D83" w14:textId="77777777" w:rsidR="00AB6127" w:rsidRPr="00D40509" w:rsidRDefault="00AB6127" w:rsidP="00AB6127">
      <w:r w:rsidRPr="00D40509">
        <w:t>Закон также уточняет сроки подачи заявления о переводе пенсионных накоплений в программу долгосрочных сбережений (ПДС) и уведомления об отказе от такого перевода.</w:t>
      </w:r>
    </w:p>
    <w:p w14:paraId="0EEBB482" w14:textId="77777777" w:rsidR="00AB6127" w:rsidRPr="00D40509" w:rsidRDefault="00AB6127" w:rsidP="00AB6127">
      <w:r w:rsidRPr="00D40509">
        <w:t>Сейчас для перевода пенсионных накоплений в качестве единовременного взноса в ПДС необходимо подать в НПФ соответствующее заявление не позднее 1 декабря. А если человек после этого решил отказаться от такого перевода, он должен уведомить об этом фонд не позднее 31 декабря того же года.</w:t>
      </w:r>
    </w:p>
    <w:p w14:paraId="03789182" w14:textId="77777777" w:rsidR="00AB6127" w:rsidRPr="00D40509" w:rsidRDefault="00AB6127" w:rsidP="00AB6127">
      <w:r w:rsidRPr="00D40509">
        <w:t>Законом продлевается максимальный срок подачи заявления о взносе до 31 декабря, а уведомления об отказе от перевода - до 31 января следующего года. Это изменение начнет действовать сразу после официального опубликования нового закона.</w:t>
      </w:r>
    </w:p>
    <w:p w14:paraId="4372D722" w14:textId="77777777" w:rsidR="00AB6127" w:rsidRPr="00D40509" w:rsidRDefault="00AB6127" w:rsidP="00AB6127">
      <w:r w:rsidRPr="00D40509">
        <w:t xml:space="preserve">Через 90 дней после публикации начнут действовать нормы, уточняющие особенности расчета даты определения дохода по облигациям, который зависит от определенных обстоятельств (курса валюты, уровня инфляции и т.д.). Сам же закон вступит в силу через 180 дней после публикации, за исключением норм, для которых установлен иной срок. </w:t>
      </w:r>
    </w:p>
    <w:p w14:paraId="27B401F4" w14:textId="77777777" w:rsidR="00AB19D9" w:rsidRPr="00D40509" w:rsidRDefault="00AB19D9" w:rsidP="00AB19D9">
      <w:pPr>
        <w:pStyle w:val="2"/>
      </w:pPr>
      <w:bookmarkStart w:id="112" w:name="_Toc183067333"/>
      <w:bookmarkEnd w:id="109"/>
      <w:r w:rsidRPr="00D40509">
        <w:t>РИА Новости, 20.11.2024, Силуанов назвал рыночный курс рубля столпом денежно-кредитной политики РФ</w:t>
      </w:r>
      <w:bookmarkEnd w:id="112"/>
    </w:p>
    <w:p w14:paraId="3FBBB5DF" w14:textId="77777777" w:rsidR="00AB19D9" w:rsidRPr="00D40509" w:rsidRDefault="00AB19D9" w:rsidP="00EA17F3">
      <w:pPr>
        <w:pStyle w:val="3"/>
      </w:pPr>
      <w:bookmarkStart w:id="113" w:name="_Toc183067334"/>
      <w:r w:rsidRPr="00D40509">
        <w:t xml:space="preserve">Курс рубля не должен регулироваться властями, его рыночное формирование является столпом денежно-кредитной политики РФ, заявил министр финансов РФ Антон Силуанов в интервью Наиле Аскер-заде на канале </w:t>
      </w:r>
      <w:r w:rsidR="00D40509">
        <w:t>«</w:t>
      </w:r>
      <w:r w:rsidRPr="00D40509">
        <w:t>Россия 1</w:t>
      </w:r>
      <w:r w:rsidR="00D40509">
        <w:t>»</w:t>
      </w:r>
      <w:r w:rsidRPr="00D40509">
        <w:t>.</w:t>
      </w:r>
      <w:bookmarkEnd w:id="113"/>
    </w:p>
    <w:p w14:paraId="1F3D09C0" w14:textId="77777777" w:rsidR="00AB19D9" w:rsidRPr="00D40509" w:rsidRDefault="00D40509" w:rsidP="00AB19D9">
      <w:r>
        <w:t>«</w:t>
      </w:r>
      <w:r w:rsidR="00AB19D9" w:rsidRPr="00D40509">
        <w:t>Курс рубля у нас устанавливается исходя из спроса и предложения на валюту. Рыночное курсообразование - это один из наших столпов нашей денежно-кредитной политики. Это очень важно</w:t>
      </w:r>
      <w:r>
        <w:t>»</w:t>
      </w:r>
      <w:r w:rsidR="00AB19D9" w:rsidRPr="00D40509">
        <w:t>, - сказал Силуанов.</w:t>
      </w:r>
    </w:p>
    <w:p w14:paraId="03ABC725" w14:textId="77777777" w:rsidR="00AB19D9" w:rsidRPr="00D40509" w:rsidRDefault="00D40509" w:rsidP="00AB19D9">
      <w:r>
        <w:t>«</w:t>
      </w:r>
      <w:r w:rsidR="00AB19D9" w:rsidRPr="00D40509">
        <w:t>Если мы будем регулировать курсообразование, то будут перекосы в стоимостных показателях, будут перекосы и в формировании денежно-кредитной политики. Мы это проходили. И возвращаться к старому, я думаю, что это неправильно, это нанесет просто вред нашим результатам денежно-кредитной и бюджетной политики</w:t>
      </w:r>
      <w:r>
        <w:t>»</w:t>
      </w:r>
      <w:r w:rsidR="00AB19D9" w:rsidRPr="00D40509">
        <w:t>, - подчеркнул он.</w:t>
      </w:r>
    </w:p>
    <w:p w14:paraId="7003995A" w14:textId="77777777" w:rsidR="00AB19D9" w:rsidRPr="00D40509" w:rsidRDefault="00AB19D9" w:rsidP="00AB19D9">
      <w:r w:rsidRPr="00D40509">
        <w:t>Министр уверен, что курсообразование должно быть рыночным. По его словам, это является залогом для возможности построения прогнозов и экономических моделей для бизнеса.</w:t>
      </w:r>
    </w:p>
    <w:p w14:paraId="551EF367" w14:textId="77777777" w:rsidR="00AB19D9" w:rsidRPr="00D40509" w:rsidRDefault="00AB19D9" w:rsidP="00AB19D9">
      <w:r w:rsidRPr="00D40509">
        <w:lastRenderedPageBreak/>
        <w:t>При этом он отметил, что валюта нужна не всем гражданам, для них есть много хороших инструментов для вложения рублей: депозиты и ценные бумаги.</w:t>
      </w:r>
    </w:p>
    <w:p w14:paraId="1F6C8ADD" w14:textId="77777777" w:rsidR="00AB19D9" w:rsidRPr="00D40509" w:rsidRDefault="00D40509" w:rsidP="00AB19D9">
      <w:r>
        <w:t>«</w:t>
      </w:r>
      <w:r w:rsidR="00AB19D9" w:rsidRPr="00D40509">
        <w:t>Кто планирует траты в иностранной валюте, тот, конечно, может и хранить свои сбережения в этой части, в тех валютах, где он собирается их потратить. Кто-то хочет выехать за рубеж, кто-то хочет какие-то совершить другие может быть, вложения в иностранных валютах</w:t>
      </w:r>
      <w:r>
        <w:t>»</w:t>
      </w:r>
      <w:r w:rsidR="00AB19D9" w:rsidRPr="00D40509">
        <w:t>, - сказал он.</w:t>
      </w:r>
    </w:p>
    <w:p w14:paraId="22180EF6" w14:textId="77777777" w:rsidR="00AB19D9" w:rsidRPr="00D40509" w:rsidRDefault="00AB19D9" w:rsidP="00AB19D9">
      <w:r w:rsidRPr="00D40509">
        <w:t xml:space="preserve">Однако, по мнению главы Минфина, если человек не собирается тратить свои сбережения на внешних рынках, то лучше их вложить в рублевые инструменты и хранить их в рублях. </w:t>
      </w:r>
      <w:r w:rsidR="00D40509">
        <w:t>«</w:t>
      </w:r>
      <w:r w:rsidRPr="00D40509">
        <w:t>Благо сегодня доходности по рублевым инструментам хорошие. А хранить деньги в долларах или в евро, или не хранить - это дело каждого человека, исходя из тех трат или прогнозов этих трат, которые есть в семейных планах</w:t>
      </w:r>
      <w:r w:rsidR="00D40509">
        <w:t>»</w:t>
      </w:r>
      <w:r w:rsidRPr="00D40509">
        <w:t>, - сказал он.</w:t>
      </w:r>
    </w:p>
    <w:p w14:paraId="1002C292" w14:textId="77777777" w:rsidR="00AB19D9" w:rsidRPr="00D40509" w:rsidRDefault="00AB19D9" w:rsidP="00AB19D9">
      <w:pPr>
        <w:pStyle w:val="2"/>
      </w:pPr>
      <w:bookmarkStart w:id="114" w:name="_Toc183067335"/>
      <w:r w:rsidRPr="00D40509">
        <w:t>ТАСС, 20.11.2024, Годовая инфляция с 12 по 18 ноября ускорилась до 8,68% с 8,56% - МЭР</w:t>
      </w:r>
      <w:bookmarkEnd w:id="114"/>
    </w:p>
    <w:p w14:paraId="54EF0E4A" w14:textId="77777777" w:rsidR="00AB19D9" w:rsidRPr="00D40509" w:rsidRDefault="00AB19D9" w:rsidP="00EA17F3">
      <w:pPr>
        <w:pStyle w:val="3"/>
      </w:pPr>
      <w:bookmarkStart w:id="115" w:name="_Toc183067336"/>
      <w:r w:rsidRPr="00D40509">
        <w:t>Годовая инфляция в РФ на неделе с 12 по 18 ноября ускорилась с 8,56% до 8,68%. Об этом говорится в обзоре о текущей ценовой ситуации, подготовленном Минэкономразвития.</w:t>
      </w:r>
      <w:bookmarkEnd w:id="115"/>
    </w:p>
    <w:p w14:paraId="72041003" w14:textId="77777777" w:rsidR="00AB19D9" w:rsidRPr="00D40509" w:rsidRDefault="00D40509" w:rsidP="00AB19D9">
      <w:r>
        <w:t>«</w:t>
      </w:r>
      <w:r w:rsidR="00AB19D9" w:rsidRPr="00D40509">
        <w:t>За неделю с 12 по 18 ноября 2024 года потребительская инфляция составила 0,37%. В секторе продовольственных товаров на отчетной неделе цены изменились на 0,73%: на плодоовощную продукцию динамика цен составила 4,09%, на остальные продукты питания цены изменились на 0,42%. В сегменте непродовольственных товаров темпы роста цен составили 0,12%: снизились цены на медикаменты и электро- и бытовые приборы. В секторе услуг темпы роста цен снизились до 0,25% при удешевлении услуг гостиниц. Индекс потребительский цен на 18 ноября зафиксирован на уровне 8,68%</w:t>
      </w:r>
      <w:r>
        <w:t>»</w:t>
      </w:r>
      <w:r w:rsidR="00AB19D9" w:rsidRPr="00D40509">
        <w:t>, - отмечается в обзоре.</w:t>
      </w:r>
    </w:p>
    <w:p w14:paraId="20E728D8" w14:textId="77777777" w:rsidR="00AB19D9" w:rsidRPr="00D40509" w:rsidRDefault="00AB19D9" w:rsidP="00AB19D9">
      <w:r w:rsidRPr="00D40509">
        <w:t>В пресс-службе министерства отметили, что основной вклад в динамику инфляции вносят продовольственные товары, прежде всего, плодоовощная (причиной роста цен стали ограничения предложения из-за майских заморозков), а также молочная продукция.</w:t>
      </w:r>
    </w:p>
    <w:p w14:paraId="5F16B3B8" w14:textId="77777777" w:rsidR="00AB19D9" w:rsidRPr="00D40509" w:rsidRDefault="00D40509" w:rsidP="00AB19D9">
      <w:r>
        <w:t>«</w:t>
      </w:r>
      <w:r w:rsidR="00AB19D9" w:rsidRPr="00D40509">
        <w:t>Для сдерживания роста цен на продукты в 2024 году были приняты комплексные меры таможенно-тарифного регулирования для насыщения рынка. Введены временные льготы в виде обнуления импортных пошлин на ограниченное количество говядины, мяса птицы, яиц, томатов. Действует запрет на экспорт риса, обсуждается его продление на первую половину 2025 года. Расширен импорт сливочного масла за счет новых поставщиков, в ближайшее время с партнерами по ЕЭК будет согласовано предоставление льготы на его беспошлинный ввоз</w:t>
      </w:r>
      <w:r>
        <w:t>»</w:t>
      </w:r>
      <w:r w:rsidR="00AB19D9" w:rsidRPr="00D40509">
        <w:t>, - сообщили в Минэкономразвития.</w:t>
      </w:r>
    </w:p>
    <w:p w14:paraId="04F97E1A" w14:textId="77777777" w:rsidR="00AB19D9" w:rsidRPr="00D40509" w:rsidRDefault="00AB19D9" w:rsidP="00AB19D9">
      <w:r w:rsidRPr="00D40509">
        <w:t xml:space="preserve">Ранее Минэкономразвития повысило прогноз по инфляции в России в 2024 году с 5,1% до 7,3%. </w:t>
      </w:r>
    </w:p>
    <w:p w14:paraId="72676044" w14:textId="77777777" w:rsidR="00AB19D9" w:rsidRPr="00D40509" w:rsidRDefault="00AB19D9" w:rsidP="00AB19D9">
      <w:pPr>
        <w:pStyle w:val="2"/>
      </w:pPr>
      <w:bookmarkStart w:id="116" w:name="_Toc183067337"/>
      <w:r w:rsidRPr="00D40509">
        <w:lastRenderedPageBreak/>
        <w:t>РИА Новости, 20.11.2024, Инфляция в РФ на неделе с 12 по 18 ноября составила 0,37% - Росстат</w:t>
      </w:r>
      <w:bookmarkEnd w:id="116"/>
    </w:p>
    <w:p w14:paraId="02E51315" w14:textId="77777777" w:rsidR="00AB19D9" w:rsidRPr="00D40509" w:rsidRDefault="00AB19D9" w:rsidP="00EA17F3">
      <w:pPr>
        <w:pStyle w:val="3"/>
      </w:pPr>
      <w:bookmarkStart w:id="117" w:name="_Toc183067338"/>
      <w:r w:rsidRPr="00D40509">
        <w:t>Инфляция в России за период с 12 по 18 ноября составила 0,37%, с начала года цены выросли на 7,41%, следует из публикации Росстата.</w:t>
      </w:r>
      <w:bookmarkEnd w:id="117"/>
    </w:p>
    <w:p w14:paraId="2919C234" w14:textId="77777777" w:rsidR="00AB19D9" w:rsidRPr="00D40509" w:rsidRDefault="00AB19D9" w:rsidP="00AB19D9">
      <w:r w:rsidRPr="00D40509">
        <w:t>Таким образом, к 18 ноября накопленная с начала года инфляция превысила официальный прогноз Минэкономразвития в 7,3%. При этом ранее вице-премьер РФ Александр Новак говорил, что рост цен по итогам года составит около 8% или чуть ниже, в то же время прогноз ЦБ РФ - 8-8,5%. В предыдущий отчетный период - с 6 по 11 ноября - рост цен составил 0,3%.</w:t>
      </w:r>
    </w:p>
    <w:p w14:paraId="5C3C19DC" w14:textId="77777777" w:rsidR="00AB19D9" w:rsidRPr="00D40509" w:rsidRDefault="00D40509" w:rsidP="00AB19D9">
      <w:r>
        <w:t>«</w:t>
      </w:r>
      <w:r w:rsidR="00AB19D9" w:rsidRPr="00D40509">
        <w:t>За период с 12 по 18 ноября 2024 года индекс потребительских цен, по оценке Росстата, составил 100,37%, с начала ноября - 100,79%, с начала года - 107,41%</w:t>
      </w:r>
      <w:r>
        <w:t>»</w:t>
      </w:r>
      <w:r w:rsidR="00AB19D9" w:rsidRPr="00D40509">
        <w:t>, - говорится в документе.</w:t>
      </w:r>
    </w:p>
    <w:p w14:paraId="08B8FD05" w14:textId="77777777" w:rsidR="00AB19D9" w:rsidRPr="00D40509" w:rsidRDefault="00AB19D9" w:rsidP="00AB19D9">
      <w:r w:rsidRPr="00D40509">
        <w:t>Рост цен на плодоовощную продукцию в среднем составил 4,1%. В частности, огурцы подорожали на 11,3%, помидоры - на 6%, капуста - на 4,7%, лук - на 4,4%, картофель - на 3,8%, свекла - на 1,6%, морковь - на 1,3%, бананы - на 1,2%, яблоки - на 1%.</w:t>
      </w:r>
    </w:p>
    <w:p w14:paraId="3BCF521A" w14:textId="77777777" w:rsidR="00AB19D9" w:rsidRPr="00D40509" w:rsidRDefault="00AB19D9" w:rsidP="00AB19D9">
      <w:r w:rsidRPr="00D40509">
        <w:t>За период с 12 по 18 ноября подорожали: сливочное масло - на 1,4%, сыры - на 1,3%, подсолнечное масло - на 1,2%, рыба мороженая - 1,1%, молоко (пастеризованное), сметана и яйца - на 0,9%, молоко (стерилизованное) - на 0,8%, творог - на 0,6%, вареные колбасы - на 0,5%, говядина, сосиски, сардельки, сухие молочные смеси для детского питания, пшеничный хлеб и макаронные изделия - на 0,4%, полукопченые и варено-копченые колбасы, вермишель и печенье - на 0,3%, мясо кур, ржаной хлеб, рис и пшено - на 0,2%, фруктово-ягодные консервы для детского питания и чай - на 0,1%. Снизились цены на мясные и овощные консервы для детского питания, гречку - на 0,2%.</w:t>
      </w:r>
    </w:p>
    <w:p w14:paraId="1B8D8C82" w14:textId="77777777" w:rsidR="00AB19D9" w:rsidRPr="00D40509" w:rsidRDefault="00AB19D9" w:rsidP="00AB19D9">
      <w:r w:rsidRPr="00D40509">
        <w:t>Среди непродовольственных товаров первой необходимости выросли цены на детские подгузники - на 0,4%, пеленки для новорожденных, зубные щетки и женские гигиенические прокладки - на 0,2%, туалетное мыло, спички и сухие корма для домашних животных - на 0,1%. Снизились цены на зубные пасты - на 0,2%, хозяйственное мыло - на 0,1%.</w:t>
      </w:r>
    </w:p>
    <w:p w14:paraId="205421A2" w14:textId="77777777" w:rsidR="00AB19D9" w:rsidRPr="00D40509" w:rsidRDefault="00AB19D9" w:rsidP="00AB19D9">
      <w:r w:rsidRPr="00D40509">
        <w:t>Телевизоры за период с 12 по 18 ноября подорожали на 0,3%, электропылесосы и смартфоны подешевели - на 0,5% и 0,2% соответственно. Стоимость нового отечественного автомобиля не изменилась, иностранного - выросла - на 0,2%. Бензин подорожал на 0,3%, дизельное топливо - на 0,5%. Перелет в салоне экономического класса вырос на 3,1%.</w:t>
      </w:r>
    </w:p>
    <w:p w14:paraId="569B057D" w14:textId="77777777" w:rsidR="00AB19D9" w:rsidRPr="00D40509" w:rsidRDefault="00AB19D9" w:rsidP="00AB19D9">
      <w:r w:rsidRPr="00D40509">
        <w:t xml:space="preserve">Росстат за отчетный период зарегистрировал рост цен на ряд лекарственных препаратов, наблюдаемых в недельной динамике. В частности, поливитамины подорожали - на 0,6%, мазь </w:t>
      </w:r>
      <w:r w:rsidR="00D40509">
        <w:t>«</w:t>
      </w:r>
      <w:r w:rsidRPr="00D40509">
        <w:t>Левомеколь</w:t>
      </w:r>
      <w:r w:rsidR="00D40509">
        <w:t>»</w:t>
      </w:r>
      <w:r w:rsidRPr="00D40509">
        <w:t xml:space="preserve"> - на 0,1%. Одновременно с этим подешевели: валидол - на 0,7%, корвалол - на 0,6%, комбинированные анальгетики - на 0,3%, препарат от кашля </w:t>
      </w:r>
      <w:r w:rsidR="00D40509">
        <w:t>«</w:t>
      </w:r>
      <w:r w:rsidRPr="00D40509">
        <w:t>Ренгалин</w:t>
      </w:r>
      <w:r w:rsidR="00D40509">
        <w:t>»</w:t>
      </w:r>
      <w:r w:rsidRPr="00D40509">
        <w:t xml:space="preserve"> - на 0,1%.</w:t>
      </w:r>
    </w:p>
    <w:p w14:paraId="142E6ABF" w14:textId="77777777" w:rsidR="00AB6127" w:rsidRPr="00D40509" w:rsidRDefault="00AB6127" w:rsidP="00AB6127">
      <w:pPr>
        <w:pStyle w:val="2"/>
      </w:pPr>
      <w:bookmarkStart w:id="118" w:name="_Toc183067339"/>
      <w:r w:rsidRPr="00D40509">
        <w:lastRenderedPageBreak/>
        <w:t>РИА Новости, 20.11.2024, Тестирование неквалифицированных инвесторов с 2021 года прошли 12,5 млн человек - ЦБ РФ</w:t>
      </w:r>
      <w:bookmarkEnd w:id="118"/>
    </w:p>
    <w:p w14:paraId="53C1EF29" w14:textId="77777777" w:rsidR="00AB6127" w:rsidRPr="00D40509" w:rsidRDefault="00AB6127" w:rsidP="00EA17F3">
      <w:pPr>
        <w:pStyle w:val="3"/>
      </w:pPr>
      <w:bookmarkStart w:id="119" w:name="_Toc183067340"/>
      <w:r w:rsidRPr="00D40509">
        <w:t>Обязательное тестирование неквалифицированных инвесторов с момента начала его действия в 2021 году прошли 12,5 миллиона человек, из них треть - успешно, рассказал руководитель службы по защите прав потребителей и обеспечению доступности финансовых услуг Банка России Михаил Мамута.</w:t>
      </w:r>
      <w:bookmarkEnd w:id="119"/>
    </w:p>
    <w:p w14:paraId="5200E690" w14:textId="77777777" w:rsidR="00AB6127" w:rsidRPr="00D40509" w:rsidRDefault="00D40509" w:rsidP="00AB6127">
      <w:r>
        <w:t>«</w:t>
      </w:r>
      <w:r w:rsidR="00AB6127" w:rsidRPr="00D40509">
        <w:t>Тестирование работает - 12,5 миллиона человек его прошло, примерно 1 миллион человек ежеквартально. Что важно - успешно сдают тест, но не так много людей</w:t>
      </w:r>
      <w:r>
        <w:t>»</w:t>
      </w:r>
      <w:r w:rsidR="00AB6127" w:rsidRPr="00D40509">
        <w:t xml:space="preserve">, - сказал он, выступая на конференции НАУФОР </w:t>
      </w:r>
      <w:r>
        <w:t>«</w:t>
      </w:r>
      <w:r w:rsidR="00AB6127" w:rsidRPr="00D40509">
        <w:t>Поведенческий контроль и надзор в целях защиты прав инвесторов</w:t>
      </w:r>
      <w:r>
        <w:t>»</w:t>
      </w:r>
      <w:r w:rsidR="00AB6127" w:rsidRPr="00D40509">
        <w:t>.</w:t>
      </w:r>
    </w:p>
    <w:p w14:paraId="079A0705" w14:textId="77777777" w:rsidR="00AB6127" w:rsidRPr="00D40509" w:rsidRDefault="00AB6127" w:rsidP="00AB6127">
      <w:r w:rsidRPr="00D40509">
        <w:t xml:space="preserve">По его словам, порядка трети инвесторов проходят тестирование успешно, из них половина - с первого раза. </w:t>
      </w:r>
      <w:r w:rsidR="00D40509">
        <w:t>«</w:t>
      </w:r>
      <w:r w:rsidRPr="00D40509">
        <w:t>Мы не ограничиваем количество попыток, но есть определенные требования к тому, как это происходит. Многие люди, не прошедшие тестирование, отказываются от приобретения сложных инструментов, начинают с более простых</w:t>
      </w:r>
      <w:r w:rsidR="00D40509">
        <w:t>»</w:t>
      </w:r>
      <w:r w:rsidRPr="00D40509">
        <w:t>, - сказал он.</w:t>
      </w:r>
    </w:p>
    <w:p w14:paraId="3B0C0317" w14:textId="77777777" w:rsidR="00AB6127" w:rsidRPr="00D40509" w:rsidRDefault="00D40509" w:rsidP="00AB6127">
      <w:r>
        <w:t>«</w:t>
      </w:r>
      <w:r w:rsidR="00AB6127" w:rsidRPr="00D40509">
        <w:t xml:space="preserve">Тяжелее всего тесты сдаются по сложным историям, </w:t>
      </w:r>
      <w:r>
        <w:t>«</w:t>
      </w:r>
      <w:r w:rsidR="00AB6127" w:rsidRPr="00D40509">
        <w:t>плечо</w:t>
      </w:r>
      <w:r>
        <w:t>»</w:t>
      </w:r>
      <w:r w:rsidR="00AB6127" w:rsidRPr="00D40509">
        <w:t xml:space="preserve"> всегда вызывает у людей вопросы - это уже понятная вещь, что начинающие инвесторы особенность торговли с </w:t>
      </w:r>
      <w:r>
        <w:t>«</w:t>
      </w:r>
      <w:r w:rsidR="00AB6127" w:rsidRPr="00D40509">
        <w:t>плечом</w:t>
      </w:r>
      <w:r>
        <w:t>»</w:t>
      </w:r>
      <w:r w:rsidR="00AB6127" w:rsidRPr="00D40509">
        <w:t xml:space="preserve"> не до конца понимают, что такое маржинальная торговля</w:t>
      </w:r>
      <w:r>
        <w:t>»</w:t>
      </w:r>
      <w:r w:rsidR="00AB6127" w:rsidRPr="00D40509">
        <w:t>, - сказал он журналистами в кулуарах конференции.</w:t>
      </w:r>
    </w:p>
    <w:p w14:paraId="56DF4CA4" w14:textId="77777777" w:rsidR="00AB6127" w:rsidRPr="00D40509" w:rsidRDefault="00AB6127" w:rsidP="00AB6127">
      <w:r w:rsidRPr="00D40509">
        <w:t>Обязательным тестирование неквалифицированных инвесторов для доступа к сложным инструментам стало с октября 2021 года.</w:t>
      </w:r>
    </w:p>
    <w:p w14:paraId="4F8C0DC3" w14:textId="77777777" w:rsidR="00AB6127" w:rsidRPr="00D40509" w:rsidRDefault="00AB6127" w:rsidP="00AB6127">
      <w:pPr>
        <w:pStyle w:val="2"/>
      </w:pPr>
      <w:bookmarkStart w:id="120" w:name="_Toc183067341"/>
      <w:r w:rsidRPr="00D40509">
        <w:t>РИА Новости, 20.11.2024, ЦБ РФ назвал абсурдом, когда финорганизации предлагают физлицам кредит для инвестиций</w:t>
      </w:r>
      <w:bookmarkEnd w:id="120"/>
    </w:p>
    <w:p w14:paraId="4AF8D80B" w14:textId="77777777" w:rsidR="00AB6127" w:rsidRPr="00D40509" w:rsidRDefault="00AB6127" w:rsidP="00EA17F3">
      <w:pPr>
        <w:pStyle w:val="3"/>
      </w:pPr>
      <w:bookmarkStart w:id="121" w:name="_Toc183067342"/>
      <w:r w:rsidRPr="00D40509">
        <w:t>Банк России считает абсурдом, когда финансовые организации предлагают частным клиентам кредит для инвестирования этих заемных средств, заявил начальник управления поведенческого надзора за субъектами рынка ценных бумаг и коллективных инвестиций Службы по защите прав потребителей и обеспечению доступности финансовых услуг ЦБ Петр Ломакин.</w:t>
      </w:r>
      <w:bookmarkEnd w:id="121"/>
    </w:p>
    <w:p w14:paraId="4784EE8B" w14:textId="77777777" w:rsidR="00AB6127" w:rsidRPr="00D40509" w:rsidRDefault="00D40509" w:rsidP="00AB6127">
      <w:r>
        <w:t>«</w:t>
      </w:r>
      <w:r w:rsidR="00AB6127" w:rsidRPr="00D40509">
        <w:t>Еще одна проблема - это инвестирование заемных средств, тоже недобросовестная практика. К счастью, не так часто мы ее выявляли, но, к сожалению, все-таки мы ее увидели - финансовая организация предложила оформить кредит для того, чтобы инвестировать эти денежные средства... Когда это делает сама финансовая организация, конечно, это абсурдно</w:t>
      </w:r>
      <w:r>
        <w:t>»</w:t>
      </w:r>
      <w:r w:rsidR="00AB6127" w:rsidRPr="00D40509">
        <w:t xml:space="preserve">, - сказал Ломакин, выступая на конференции НАУФОР </w:t>
      </w:r>
      <w:r>
        <w:t>«</w:t>
      </w:r>
      <w:r w:rsidR="00AB6127" w:rsidRPr="00D40509">
        <w:t>Поведенческий контроль и надзор в целях защиты прав инвесторов</w:t>
      </w:r>
      <w:r>
        <w:t>»</w:t>
      </w:r>
      <w:r w:rsidR="00AB6127" w:rsidRPr="00D40509">
        <w:t>.</w:t>
      </w:r>
    </w:p>
    <w:p w14:paraId="51C02E73" w14:textId="77777777" w:rsidR="00AB6127" w:rsidRPr="00D40509" w:rsidRDefault="00D40509" w:rsidP="00AB6127">
      <w:r>
        <w:t>«</w:t>
      </w:r>
      <w:r w:rsidR="00AB6127" w:rsidRPr="00D40509">
        <w:t>Мы раньше работали в этом направлении в рамках финансовой грамотности, объясняли, что так делать нельзя. Пожалуйста, никогда не берите кредит, чтобы потом его инвестировать. Обязательства у вас будут сохраняться в любом случае, инвестиции - штука такая, где нет гарантий</w:t>
      </w:r>
      <w:r>
        <w:t>»</w:t>
      </w:r>
      <w:r w:rsidR="00AB6127" w:rsidRPr="00D40509">
        <w:t>, - добавил он.</w:t>
      </w:r>
    </w:p>
    <w:p w14:paraId="54C2D774" w14:textId="77777777" w:rsidR="00AB6127" w:rsidRPr="00D40509" w:rsidRDefault="00AB6127" w:rsidP="00AB6127">
      <w:r w:rsidRPr="00D40509">
        <w:lastRenderedPageBreak/>
        <w:t xml:space="preserve">По словам Ломакина, финансовым организациям не нужно предлагать клиентам использовать заемные средства для инвестирования в финансовые инструменты, за исключением маржинальной торговли через брокера. </w:t>
      </w:r>
      <w:r w:rsidR="00D40509">
        <w:t>«</w:t>
      </w:r>
      <w:r w:rsidRPr="00D40509">
        <w:t>Более того, информировать о рисках, если мы подразумеваем, что человек мог где-то занять - пусть даже не в организации, а у физических лиц средства - для инвестирования</w:t>
      </w:r>
      <w:r w:rsidR="00D40509">
        <w:t>»</w:t>
      </w:r>
      <w:r w:rsidRPr="00D40509">
        <w:t>, - отметил он.</w:t>
      </w:r>
    </w:p>
    <w:p w14:paraId="51D069A3" w14:textId="77777777" w:rsidR="00501306" w:rsidRPr="00D40509" w:rsidRDefault="00501306" w:rsidP="00501306">
      <w:pPr>
        <w:pStyle w:val="2"/>
      </w:pPr>
      <w:bookmarkStart w:id="122" w:name="_Toc99271711"/>
      <w:bookmarkStart w:id="123" w:name="_Toc99318657"/>
      <w:bookmarkStart w:id="124" w:name="_Toc183067343"/>
      <w:r w:rsidRPr="00D40509">
        <w:t>Ваш Пенсионный Брокер, 20.11.2024, Банк России установил минимальные требования к долевому страхованию жизни</w:t>
      </w:r>
      <w:bookmarkEnd w:id="124"/>
    </w:p>
    <w:p w14:paraId="43716CA7" w14:textId="77777777" w:rsidR="00501306" w:rsidRPr="00D40509" w:rsidRDefault="00501306" w:rsidP="00EA17F3">
      <w:pPr>
        <w:pStyle w:val="3"/>
      </w:pPr>
      <w:bookmarkStart w:id="125" w:name="_Toc183067344"/>
      <w:r w:rsidRPr="00D40509">
        <w:t>Банк России установил порядок продажи полисов долевого страхования жизни (ДСЖ) и информирования клиентов об особенностях такого инструмента. Указание вступит в силу с 1 января 2025 года: с этого дня страховые компании вправе предлагать новый продукт. Он сочетает классическое страхование жизни и вложение средств в паевые инвестиционные фонды (ПИФ).</w:t>
      </w:r>
      <w:bookmarkEnd w:id="125"/>
    </w:p>
    <w:p w14:paraId="716225B8" w14:textId="77777777" w:rsidR="00501306" w:rsidRPr="00D40509" w:rsidRDefault="00501306" w:rsidP="00501306">
      <w:r w:rsidRPr="00D40509">
        <w:t>При заключении договора ДСЖ страховщики обязаны предоставлять потребителям ключевой информационный документ с описанием условий и рисков продукта. В нем в том числе должно быть указано, какая часть денег направляется на страхование жизни, а какая — на инвестирование, какие сделки допускаются с паями ПИФ, какие комиссии и в каком размере при этом взимаются страховщиком. На следующий день после заключения договора страховщик должен напомнить клиенту, что ДСЖ — не банковский вклад, у потребителя есть возможность отказаться от полиса в период охлаждения и получить обратно деньги.</w:t>
      </w:r>
    </w:p>
    <w:p w14:paraId="5D4E08FD" w14:textId="77777777" w:rsidR="00501306" w:rsidRPr="00D40509" w:rsidRDefault="00501306" w:rsidP="00501306">
      <w:r w:rsidRPr="00D40509">
        <w:t>Если клиент отказывается от услуги в течение 4 дней, то ему вернется вся внесенная сумма — и страховая, и инвестиционная части премии, даже если стоимость приобретенных паев успела снизиться. Если расторжение договора происходит в течение 30 дней, то клиент может рассчитывать на получение страховой части премии и на погашение паев по текущей стоимости.</w:t>
      </w:r>
    </w:p>
    <w:p w14:paraId="15BBC993" w14:textId="77777777" w:rsidR="00501306" w:rsidRPr="00D40509" w:rsidRDefault="00501306" w:rsidP="00501306">
      <w:r w:rsidRPr="00D40509">
        <w:t>Документ Банка России также определяет особенности взаимодействия при инвестировании. В частности, клиент сможет отказаться от договора и вернуть страховую премию, если за год с паями будет совершено шесть и более операций по обмену или погашению. Эта норма введена для того, чтобы страховщик не использовал изменение инвестиционной стратегии для получения дополнительных комиссий с клиента.</w:t>
      </w:r>
    </w:p>
    <w:p w14:paraId="6030C2F3" w14:textId="77777777" w:rsidR="00501306" w:rsidRPr="00D40509" w:rsidRDefault="00501306" w:rsidP="00501306">
      <w:r w:rsidRPr="00D40509">
        <w:t>Кроме того, регулятор ограничил перечень исключений из страхового покрытия. Страховщики могут быть освобождены от страховой выплаты только при наступлении событий, которые связаны с алкогольным, наркотическим или токсическим отравлением застрахованного. Компенсацию по страховому случаю компании обязаны выплачивать в течение 30 дней.</w:t>
      </w:r>
    </w:p>
    <w:p w14:paraId="49B3C71C" w14:textId="77777777" w:rsidR="00111D7C" w:rsidRPr="00D40509" w:rsidRDefault="00501306" w:rsidP="00501306">
      <w:hyperlink r:id="rId34" w:history="1">
        <w:r w:rsidRPr="00D40509">
          <w:rPr>
            <w:rStyle w:val="a3"/>
          </w:rPr>
          <w:t>http://pbroker.ru/?p=79049</w:t>
        </w:r>
      </w:hyperlink>
    </w:p>
    <w:p w14:paraId="10EA470E" w14:textId="77777777" w:rsidR="00501A6D" w:rsidRPr="00D40509" w:rsidRDefault="00501A6D" w:rsidP="00501A6D">
      <w:pPr>
        <w:pStyle w:val="2"/>
      </w:pPr>
      <w:bookmarkStart w:id="126" w:name="_Hlk183067189"/>
      <w:bookmarkStart w:id="127" w:name="_Toc183067345"/>
      <w:r w:rsidRPr="00D40509">
        <w:lastRenderedPageBreak/>
        <w:t>Коммерсантъ, 21.11.2024, Виталий ГАЙДАЕВ, Госдолг снова растет в цене</w:t>
      </w:r>
      <w:bookmarkEnd w:id="127"/>
    </w:p>
    <w:p w14:paraId="06B49B50" w14:textId="77777777" w:rsidR="00501A6D" w:rsidRPr="00D40509" w:rsidRDefault="00501A6D" w:rsidP="00EA17F3">
      <w:pPr>
        <w:pStyle w:val="3"/>
      </w:pPr>
      <w:bookmarkStart w:id="128" w:name="_Toc183067346"/>
      <w:r w:rsidRPr="00D40509">
        <w:t>Доходность длинных выпусков ОФЗ после двухнедельного перерыва вернулась к уровням, превышающим 17% годовых. Резкий рост ставок на долговом рынке связан с высокими инфляционными ожиданиями участников рынка и ростом геополитических рисков. Эксперты не исключают подъема ключевой ставки до 23% на последнем в этом году заседании совета директоров ЦБ. При этом доходность длинных ОФЗ к этому времени может достигнуть 18% годовых, коротких бумаг — до 22,5% годовых.</w:t>
      </w:r>
      <w:bookmarkEnd w:id="128"/>
    </w:p>
    <w:p w14:paraId="59B6FA84" w14:textId="77777777" w:rsidR="00501A6D" w:rsidRPr="00D40509" w:rsidRDefault="00501A6D" w:rsidP="00501A6D">
      <w:r w:rsidRPr="00D40509">
        <w:t xml:space="preserve">По итогам торгов на рынке гособлигаций в среду 20 ноября доходности долгосрочных выпусков ОФЗ превысили 17% годовых. При этом за последнюю неделю ставки выросли на 57–59 базисных пунктов (б. п.) и вернулись на уровни, на которых они находились двумя неделями ранее. Доходности более коротких выпусков выросли менее значительно. Так, доходности ОФЗ со сроком обращения от одного года до трех лет прибавили 18–48 б. п., поднявшись до 20,1–21,3% годовых, ставки среднесрочных бумаг выросли на 36–41 б. п., до 18–20,1% годовых. Главный аналитик по долговым рынкам БК </w:t>
      </w:r>
      <w:r w:rsidR="00D40509">
        <w:t>«</w:t>
      </w:r>
      <w:r w:rsidRPr="00D40509">
        <w:t>Регион</w:t>
      </w:r>
      <w:r w:rsidR="00D40509">
        <w:t>»</w:t>
      </w:r>
      <w:r w:rsidRPr="00D40509">
        <w:t xml:space="preserve"> Александр Ермак отмечает снижение котировок облигаций с переменным купоном в среднем на 0,18%. Ставки росли на фоне сокращения торговой активности инвесторов. По оценке господина Ермака, за неделю, закончившуюся 19 ноября, объем сделок составил 60 млрд руб., тогда как неделей ранее превышал 71 млрд руб.</w:t>
      </w:r>
    </w:p>
    <w:p w14:paraId="5BB58B78" w14:textId="77777777" w:rsidR="00501A6D" w:rsidRPr="00D40509" w:rsidRDefault="00501A6D" w:rsidP="00501A6D">
      <w:r w:rsidRPr="00D40509">
        <w:t>Главной причиной резкого роста доходностей стали жесткие заявления главы Банка России в отношении монетарной политики на фоне ускорения инфляции в начале месяца.</w:t>
      </w:r>
    </w:p>
    <w:p w14:paraId="5EB45B8D" w14:textId="77777777" w:rsidR="00501A6D" w:rsidRPr="00D40509" w:rsidRDefault="00501A6D" w:rsidP="00501A6D">
      <w:r w:rsidRPr="00D40509">
        <w:t xml:space="preserve">На минувшей неделе Росстат сообщил о том, что на 11 ноября инфляция составила 8,56% в годовом выражении после 8,53% неделей ранее. В таких условиях инфляционные ожидания населения, даже несмотря на ужесточение денежно-кредитной политики регулятора, остаются на высоком уровне. По данным опроса </w:t>
      </w:r>
      <w:r w:rsidR="00D40509">
        <w:t>«</w:t>
      </w:r>
      <w:r w:rsidRPr="00D40509">
        <w:t>ИнФОМ</w:t>
      </w:r>
      <w:r w:rsidR="00D40509">
        <w:t>»</w:t>
      </w:r>
      <w:r w:rsidRPr="00D40509">
        <w:t>, проведенного для ЦБ, в ноябре ожидания остались на уровне 13,4% — максимальном значении с начала года. Как считает главный аналитик Совкомбанка Михаил Васильев, это повышает вероятность подъема ключевой ставки на заседании совета директоров ЦБ 20 декабря. В базовом сценарии в банке ожидают повышения ключевой ставки еще на 200 б. п., до 23%.</w:t>
      </w:r>
    </w:p>
    <w:p w14:paraId="48290BB6" w14:textId="77777777" w:rsidR="00501A6D" w:rsidRPr="00D40509" w:rsidRDefault="00501A6D" w:rsidP="00501A6D">
      <w:r w:rsidRPr="00D40509">
        <w:t xml:space="preserve">Более сильная реакция длинных ОФЗ связана с предыдущим периодом чрезмерного оптимизма на рынке после победы Дональда Трампа на выборах президента США. С 6 ноября по минувшую пятницу, 15 ноября, индекс гособлигаций Московской биржи RGBI вырос более чем на 4% и впервые с начала октября закрепился выше уровня 100 пунктов. </w:t>
      </w:r>
      <w:r w:rsidR="00D40509">
        <w:t>«</w:t>
      </w:r>
      <w:r w:rsidRPr="00D40509">
        <w:t>Некоторые участники рынка стали надеяться на улучшение геополитической ситуации и, соответственно, решили добавить риска в свои портфели. Это привело к краткосрочному росту цен долгосрочных выпусков ОФЗ</w:t>
      </w:r>
      <w:r w:rsidR="00D40509">
        <w:t>»</w:t>
      </w:r>
      <w:r w:rsidRPr="00D40509">
        <w:t xml:space="preserve">,— отмечает руководитель отдела управления бумагами с фиксированной доходностью УК </w:t>
      </w:r>
      <w:r w:rsidR="00D40509">
        <w:t>«</w:t>
      </w:r>
      <w:r w:rsidRPr="00D40509">
        <w:t>Первая</w:t>
      </w:r>
      <w:r w:rsidR="00D40509">
        <w:t>»</w:t>
      </w:r>
      <w:r w:rsidRPr="00D40509">
        <w:t xml:space="preserve"> Антон Пустовойтов.</w:t>
      </w:r>
    </w:p>
    <w:p w14:paraId="69B316A3" w14:textId="77777777" w:rsidR="00501A6D" w:rsidRPr="00D40509" w:rsidRDefault="00501A6D" w:rsidP="00501A6D">
      <w:r w:rsidRPr="00D40509">
        <w:t>Однако на текущей неделе, на фоне данных по инфляции и обострения геополитической обстановки, оптимизма у управляющих поубавилось.</w:t>
      </w:r>
    </w:p>
    <w:p w14:paraId="16785D09" w14:textId="77777777" w:rsidR="00501A6D" w:rsidRPr="00D40509" w:rsidRDefault="00501A6D" w:rsidP="00501A6D">
      <w:r w:rsidRPr="00D40509">
        <w:lastRenderedPageBreak/>
        <w:t xml:space="preserve">В сложившихся условиях аналитики и управляющие не исключают дальнейшего роста ставок. Михаил Васильев предполагает, что доходности коротких ОФЗ могут подняться до 21,5–22,5% годовых, среднесрочных — до 20–21%, длинных — до 17–18% годовых. Однако даже в таких условиях, как указывает ведущий управляющий активами с фиксированной доходностью </w:t>
      </w:r>
      <w:r w:rsidR="00D40509">
        <w:t>«</w:t>
      </w:r>
      <w:r w:rsidRPr="00D40509">
        <w:t>ТКБ Инвестмент Партнерс</w:t>
      </w:r>
      <w:r w:rsidR="00D40509">
        <w:t>»</w:t>
      </w:r>
      <w:r w:rsidRPr="00D40509">
        <w:t xml:space="preserve"> Артемий Доброхотов, ряд инвесторов продолжает проявлять интерес к первичным размещениям ОФЗ, учитывая возможность фиксации высоких ставок на длительный срок. В среду 20 ноября Минфин разместил 15-летние облигации на 26 млрд руб., при этом средневзвешенная доходность составила 17,31% годовых.</w:t>
      </w:r>
    </w:p>
    <w:p w14:paraId="2295D260" w14:textId="77777777" w:rsidR="00501306" w:rsidRPr="00D40509" w:rsidRDefault="00501A6D" w:rsidP="00501A6D">
      <w:hyperlink r:id="rId35" w:history="1">
        <w:r w:rsidRPr="00D40509">
          <w:rPr>
            <w:rStyle w:val="a3"/>
          </w:rPr>
          <w:t>https://www.kommersant.ru/doc/7312873</w:t>
        </w:r>
      </w:hyperlink>
    </w:p>
    <w:p w14:paraId="725A2194" w14:textId="77777777" w:rsidR="00F334F0" w:rsidRPr="00D40509" w:rsidRDefault="00F334F0" w:rsidP="00F334F0">
      <w:pPr>
        <w:pStyle w:val="2"/>
      </w:pPr>
      <w:bookmarkStart w:id="129" w:name="_Toc183067347"/>
      <w:bookmarkEnd w:id="126"/>
      <w:r w:rsidRPr="00D40509">
        <w:t>РБК. Тренды, 20.11.2024, Высокие ставки и сервис впечатлений: как меняется розничный банкинг</w:t>
      </w:r>
      <w:bookmarkEnd w:id="129"/>
    </w:p>
    <w:p w14:paraId="06C72A26" w14:textId="77777777" w:rsidR="00F334F0" w:rsidRPr="00D40509" w:rsidRDefault="00F334F0" w:rsidP="00F334F0">
      <w:pPr>
        <w:pStyle w:val="3"/>
      </w:pPr>
      <w:bookmarkStart w:id="130" w:name="_Toc183067348"/>
      <w:r w:rsidRPr="00D40509">
        <w:t>Как население реагирует на подорожание кредитов, чем банки привлекают новых клиентов и почему России нужна новая платежная система с единым QR-кодом, рассказал директор розничного бизнеса Альфа-банка Иван Пятков.</w:t>
      </w:r>
      <w:bookmarkEnd w:id="130"/>
    </w:p>
    <w:p w14:paraId="21A89F31" w14:textId="77777777" w:rsidR="00F334F0" w:rsidRPr="00D40509" w:rsidRDefault="00F334F0" w:rsidP="00F334F0">
      <w:r w:rsidRPr="00D40509">
        <w:t>Об эксперте: Иван Пятков, руководитель розничного направления Альфа-банка, заместитель председателя правления. Опыт в банковской сфере - более 20 лет.</w:t>
      </w:r>
    </w:p>
    <w:p w14:paraId="5CEFD4CB" w14:textId="77777777" w:rsidR="00F334F0" w:rsidRPr="00D40509" w:rsidRDefault="00F334F0" w:rsidP="00F334F0">
      <w:r w:rsidRPr="00D40509">
        <w:t>Кредиты - в минус, депозиты - в плюс</w:t>
      </w:r>
    </w:p>
    <w:p w14:paraId="77C36036" w14:textId="77777777" w:rsidR="00F334F0" w:rsidRPr="00D40509" w:rsidRDefault="00F334F0" w:rsidP="00F334F0">
      <w:r w:rsidRPr="00D40509">
        <w:t>- Банковская система находится в достаточно необычной ситуации - высокая ключевая ставка ЦБ, жесткие ограничения на кредитование. Какие главные тренды складываются на этом фоне в розничном банкинге?</w:t>
      </w:r>
    </w:p>
    <w:p w14:paraId="1D4EEA1C" w14:textId="77777777" w:rsidR="00F334F0" w:rsidRPr="00D40509" w:rsidRDefault="00F334F0" w:rsidP="00F334F0">
      <w:r w:rsidRPr="00D40509">
        <w:t xml:space="preserve">- Время действительно необычное. Сама по себе высокая ключевая ставка (с начала 2022 года до середины ноября 2024-го она выросла с 8,5 до 21%; это минимальный процент, под который ЦБ выдает кредиты коммерческим банкам. - </w:t>
      </w:r>
      <w:r>
        <w:t>«</w:t>
      </w:r>
      <w:r w:rsidRPr="00D40509">
        <w:t>РБК Тренды</w:t>
      </w:r>
      <w:r>
        <w:t>»</w:t>
      </w:r>
      <w:r w:rsidRPr="00D40509">
        <w:t>) снижает аппетит к получению кредитов, потому что их обслуживание становится дороже для клиента. Но люди очень быстро адаптируются. По прошлым годам заемщики помнят, что дорогой кредит можно рефинансировать и снизить нагрузку, когда ставки придут в норму. С другой стороны, динамика роста реальных доходов населения позволяет им рассчитывать на то, что он продолжится и дальше, и взятые кредиты с каждым годом будет все легче и легче обслуживать.</w:t>
      </w:r>
    </w:p>
    <w:p w14:paraId="7777FCA0" w14:textId="77777777" w:rsidR="00F334F0" w:rsidRPr="00D40509" w:rsidRDefault="00F334F0" w:rsidP="00F334F0">
      <w:r w:rsidRPr="00D40509">
        <w:t xml:space="preserve">При этом Банк России вводит дополнительные ограничения - банкам запрещается выдавать больше определенной доли кредитов клиентам с тем или иным уровнем долговой нагрузки. Кроме того, есть надбавки, которые увеличивают нагрузку на капитал банка (чем они выше, тем больше нужен запас дополнительного капитала; такие надбавки применяются при выдаче необеспеченных кредитов. - </w:t>
      </w:r>
      <w:r>
        <w:t>«</w:t>
      </w:r>
      <w:r w:rsidRPr="00D40509">
        <w:t>РБК Тренды</w:t>
      </w:r>
      <w:r>
        <w:t>»</w:t>
      </w:r>
      <w:r w:rsidRPr="00D40509">
        <w:t>). А капитал в банковской системе - достаточно дефицитный ресурс.</w:t>
      </w:r>
    </w:p>
    <w:p w14:paraId="512378C4" w14:textId="77777777" w:rsidR="00F334F0" w:rsidRPr="00D40509" w:rsidRDefault="00F334F0" w:rsidP="00F334F0">
      <w:r w:rsidRPr="00D40509">
        <w:t>Все вместе это приведет к тому, что объемы розничного кредитования будут значимо сокращаться как в этом, так и в следующем году. Динамика объема выдач кредитов последние два-три месяца уже достаточно ярко свидетельствует об этом.</w:t>
      </w:r>
    </w:p>
    <w:p w14:paraId="58DCCDBE" w14:textId="77777777" w:rsidR="00F334F0" w:rsidRPr="00D40509" w:rsidRDefault="00F334F0" w:rsidP="00F334F0">
      <w:r w:rsidRPr="00D40509">
        <w:t xml:space="preserve">Такие ограничительные меры не только приведут к меньшей доступности кредитов - получить в 2025 году необеспеченный кредит будет большой удачей для многих </w:t>
      </w:r>
      <w:r w:rsidRPr="00D40509">
        <w:lastRenderedPageBreak/>
        <w:t>миллионов россиян, - но и к ухудшению потребительских характеристик кредитных продуктов. Уже сейчас многие банки ужесточают условия грейс-периодов в кредитных картах - при текущей стоимости денег кредитовать под нулевую ставку даже на 30-60 дней становится крайне убыточно. Станут менее щедрыми программы лояльности, некоторые банки уже начали активно сокращать лимиты по кредитным картам и пр. Экономика кредитных карт, например, разваливается просто на глазах. Мы ведем диалог с Банком России об адаптировании регулирования в части макропруденциальных надбавок под этот продукт.</w:t>
      </w:r>
    </w:p>
    <w:p w14:paraId="29CDEA5C" w14:textId="77777777" w:rsidR="00F334F0" w:rsidRPr="00D40509" w:rsidRDefault="00F334F0" w:rsidP="00F334F0">
      <w:r w:rsidRPr="00D40509">
        <w:t>- Сберегательное поведение клиентов как-то изменилось?</w:t>
      </w:r>
    </w:p>
    <w:p w14:paraId="5BA49A52" w14:textId="77777777" w:rsidR="00F334F0" w:rsidRPr="00D40509" w:rsidRDefault="00F334F0" w:rsidP="00F334F0">
      <w:r w:rsidRPr="00D40509">
        <w:t>- У нас официальная инфляция не превышает 10% годовых, а ставки по депозитам уже добрались до 20-23%. Разница между темпом инфляции и ставками очень высокая, поэтому люди начали сберегать больше.</w:t>
      </w:r>
    </w:p>
    <w:p w14:paraId="54C11FE4" w14:textId="77777777" w:rsidR="00F334F0" w:rsidRPr="00D40509" w:rsidRDefault="00F334F0" w:rsidP="00F334F0">
      <w:r w:rsidRPr="00D40509">
        <w:t>При этом мы видим охлаждение интереса к рынку инвестиций. Когда по депозиту гарантированно дают более 20% годовых, зачем еще разбираться в ценных бумагах и рисковать? Тем более на фондовом рынке идет достаточно заметная просадка. И увеличение объемов денежных сбережений в банках происходит в том числе за счет того, что деньги уходят из инвестиций. Но мы с этим научились работать.</w:t>
      </w:r>
    </w:p>
    <w:p w14:paraId="0FF16172" w14:textId="77777777" w:rsidR="00F334F0" w:rsidRPr="00D40509" w:rsidRDefault="00F334F0" w:rsidP="00F334F0">
      <w:r w:rsidRPr="00D40509">
        <w:t>Перестройка бизнес-модели и нефинансовые сервисы</w:t>
      </w:r>
    </w:p>
    <w:p w14:paraId="3A34104E" w14:textId="77777777" w:rsidR="00F334F0" w:rsidRPr="00D40509" w:rsidRDefault="00F334F0" w:rsidP="00F334F0">
      <w:r w:rsidRPr="00D40509">
        <w:t>- Как себя ощущают банки в сложившейся ситуации?</w:t>
      </w:r>
    </w:p>
    <w:p w14:paraId="7A625B85" w14:textId="77777777" w:rsidR="00F334F0" w:rsidRPr="00D40509" w:rsidRDefault="00F334F0" w:rsidP="00F334F0">
      <w:r w:rsidRPr="00D40509">
        <w:t>- Это большой вызов. Банковская система строила свою бизнес-модель в рознице во многом за счет развития кредитного направления. У Альфа-банка третье место на рынке по объему розничного кредитного портфеля. Поэтому для нас такие серьезные колебания на рынке, конечно же, очень чувствительны. И наша задача - перестроить нашу бизнес-модель таким образом, чтобы диверсифицировать источники дохода, снизив зависимость от кредитования.</w:t>
      </w:r>
    </w:p>
    <w:p w14:paraId="2A5DFFB1" w14:textId="77777777" w:rsidR="00F334F0" w:rsidRPr="00D40509" w:rsidRDefault="00F334F0" w:rsidP="00F334F0">
      <w:r w:rsidRPr="00D40509">
        <w:t>- О каких новых источниках идет речь?</w:t>
      </w:r>
    </w:p>
    <w:p w14:paraId="7327053C" w14:textId="77777777" w:rsidR="00F334F0" w:rsidRPr="00D40509" w:rsidRDefault="00F334F0" w:rsidP="00F334F0">
      <w:r w:rsidRPr="00D40509">
        <w:t xml:space="preserve">- Безусловно, мы будем развивать все, что связано со сбережениями и инвестициями. Последние два года много вкладываемся в развитие нашей инвестиционной платформы. Активно подключаемся к </w:t>
      </w:r>
      <w:r w:rsidRPr="00D40509">
        <w:rPr>
          <w:b/>
        </w:rPr>
        <w:t>программе долгосрочных сбережений</w:t>
      </w:r>
      <w:r w:rsidRPr="00D40509">
        <w:t xml:space="preserve">, которую сейчас реализует правительство. Пару месяцев назад зарегистрировали наш собственный </w:t>
      </w:r>
      <w:r w:rsidRPr="00D40509">
        <w:rPr>
          <w:b/>
        </w:rPr>
        <w:t>негосударственный пенсионный фонд</w:t>
      </w:r>
      <w:r w:rsidRPr="00D40509">
        <w:t xml:space="preserve"> - Альфа </w:t>
      </w:r>
      <w:r w:rsidRPr="00D40509">
        <w:rPr>
          <w:b/>
        </w:rPr>
        <w:t>НПФ</w:t>
      </w:r>
      <w:r w:rsidRPr="00D40509">
        <w:t xml:space="preserve"> - и буквально на днях получили лицензию Банка России.</w:t>
      </w:r>
    </w:p>
    <w:p w14:paraId="3B00CA21" w14:textId="77777777" w:rsidR="00F334F0" w:rsidRPr="00D40509" w:rsidRDefault="00F334F0" w:rsidP="00F334F0">
      <w:r w:rsidRPr="00D40509">
        <w:t xml:space="preserve">Еще одно направление - комиссионный транзакционный бизнес. Планируем усиливать все, что связано с нефинансовыми сервисами. Уже хорошо научились продавать туристические продукты - авиабилеты, путевки. В этом году авианаправление подберется к отметке 50 млрд по объему продаж. Вместе с Kassir.ru развиваем сервис </w:t>
      </w:r>
      <w:r>
        <w:t>«</w:t>
      </w:r>
      <w:r w:rsidRPr="00D40509">
        <w:t>Афиша</w:t>
      </w:r>
      <w:r>
        <w:t>»</w:t>
      </w:r>
      <w:r w:rsidRPr="00D40509">
        <w:t>, где можно приобретать билеты. В работе еще ряд инициатив, которые представим в следующем году.</w:t>
      </w:r>
    </w:p>
    <w:p w14:paraId="28572D3B" w14:textId="77777777" w:rsidR="00F334F0" w:rsidRPr="00D40509" w:rsidRDefault="00F334F0" w:rsidP="00F334F0">
      <w:r w:rsidRPr="00D40509">
        <w:t xml:space="preserve">Из больших инициатив на ближайшее время - создание виртуального мобильного оператора. Партнером проекта стал </w:t>
      </w:r>
      <w:r>
        <w:t>«</w:t>
      </w:r>
      <w:r w:rsidRPr="00D40509">
        <w:t>Билайн</w:t>
      </w:r>
      <w:r>
        <w:t>»</w:t>
      </w:r>
      <w:r w:rsidRPr="00D40509">
        <w:t>. В первом квартале 2025 года ожидаем полноценный запуск в шести регионах. К маю будет порядка 13 регионов, в которых проживают более 75% наших клиентов.</w:t>
      </w:r>
    </w:p>
    <w:p w14:paraId="336EF0B9" w14:textId="77777777" w:rsidR="00F334F0" w:rsidRPr="00D40509" w:rsidRDefault="00F334F0" w:rsidP="00F334F0">
      <w:r w:rsidRPr="00D40509">
        <w:lastRenderedPageBreak/>
        <w:t>Все это позволит нам, с одной стороны, получить дополнительный доход, с другой - окружить клиента набором сервисов, которые ему нужны в повседневной жизни.</w:t>
      </w:r>
    </w:p>
    <w:p w14:paraId="4215BD34" w14:textId="77777777" w:rsidR="00F334F0" w:rsidRPr="00D40509" w:rsidRDefault="00F334F0" w:rsidP="00F334F0">
      <w:r w:rsidRPr="00D40509">
        <w:t>- Насколько все эти дополнительные направления позволяют адаптироваться к трендам и вызовам, которые сейчас стоят перед банками?</w:t>
      </w:r>
    </w:p>
    <w:p w14:paraId="57083F1E" w14:textId="77777777" w:rsidR="00F334F0" w:rsidRPr="00D40509" w:rsidRDefault="00F334F0" w:rsidP="00F334F0">
      <w:r w:rsidRPr="00D40509">
        <w:t>- Все банки в той или иной степени уже давно задумываются о том, как подстроить свою модель под новые условия. Если говорить про усиление традиционных направлений - работа со сбережениями, транзакционный бизнес, - то здесь вся банковская система достаточно хорошо готова.</w:t>
      </w:r>
    </w:p>
    <w:p w14:paraId="726A49D2" w14:textId="77777777" w:rsidR="00F334F0" w:rsidRPr="00D40509" w:rsidRDefault="00F334F0" w:rsidP="00F334F0">
      <w:r w:rsidRPr="00D40509">
        <w:t>Другой вопрос - новые проекты. Например, запуск нефинансовых сервисов - это значимые вложения. Чем больше у тебя клиентская база, тем лучше ты можешь эти сервисы продвинуть и монетизировать. Но если у тебя не 15 млн клиентов, а миллион, то объем вложений в 15 раз меньше не становится. Поэтому эффект масштаба здесь имеет определяющее значение. Я абсолютно уверен, что текущая рыночная ситуация еще больше спровоцирует консолидацию банковского сектора - крупные банки на розничном рынке будут становиться еще крупнее.</w:t>
      </w:r>
    </w:p>
    <w:p w14:paraId="729EFB04" w14:textId="77777777" w:rsidR="00F334F0" w:rsidRPr="00D40509" w:rsidRDefault="00F334F0" w:rsidP="00F334F0">
      <w:r w:rsidRPr="00D40509">
        <w:t>Подходы к росту и способы привлечения клиентов</w:t>
      </w:r>
    </w:p>
    <w:p w14:paraId="5810C0DD" w14:textId="77777777" w:rsidR="00F334F0" w:rsidRPr="00D40509" w:rsidRDefault="00F334F0" w:rsidP="00F334F0">
      <w:r w:rsidRPr="00D40509">
        <w:t>- Есть ли на рынке ресурс для наращивания клиентской базы?</w:t>
      </w:r>
    </w:p>
    <w:p w14:paraId="15C3B43B" w14:textId="77777777" w:rsidR="00F334F0" w:rsidRPr="00D40509" w:rsidRDefault="00F334F0" w:rsidP="00F334F0">
      <w:r w:rsidRPr="00D40509">
        <w:t>- По нашему опыту видно, что есть. У нас рост активной клиентской базы в 2024 году составит 46%. Это рекордный показатель для нашего банка и, вероятно, для отрасли в целом. Рост полностью органический - не за счет приобретения или присоединения других игроков рынка. Сейчас наша общая клиентская база составляет более 35 млн физических лиц.</w:t>
      </w:r>
    </w:p>
    <w:p w14:paraId="0FE5FC06" w14:textId="77777777" w:rsidR="00F334F0" w:rsidRPr="00D40509" w:rsidRDefault="00F334F0" w:rsidP="00F334F0">
      <w:r w:rsidRPr="00D40509">
        <w:t>- За счет чего можно так нарастить базу?</w:t>
      </w:r>
    </w:p>
    <w:p w14:paraId="05023BB0" w14:textId="77777777" w:rsidR="00F334F0" w:rsidRPr="00D40509" w:rsidRDefault="00F334F0" w:rsidP="00F334F0">
      <w:r w:rsidRPr="00D40509">
        <w:t>- Аппетит к росту есть практически у всех игроков, но у всех разные подходы. Часто я вижу, что коллеги максимально сконцентрированы на создании лучшего продукта. Это в целом правильный подход, но сам по себе он не обеспечивает успеха.</w:t>
      </w:r>
    </w:p>
    <w:p w14:paraId="41B889AE" w14:textId="77777777" w:rsidR="00F334F0" w:rsidRPr="00D40509" w:rsidRDefault="00F334F0" w:rsidP="00F334F0">
      <w:r w:rsidRPr="00D40509">
        <w:t>Продукт еще надо донести до клиента, рассказать о нем, заинтересовать, дать легкий вход клиенту в банк. И если у тебя не развиты каналы дистрибуции, то успеха не будет.</w:t>
      </w:r>
    </w:p>
    <w:p w14:paraId="5F86C1A2" w14:textId="77777777" w:rsidR="00F334F0" w:rsidRPr="00D40509" w:rsidRDefault="00F334F0" w:rsidP="00F334F0">
      <w:r w:rsidRPr="00D40509">
        <w:t>За последние годы мы открыли 300 новых отделений. Причем пошли в города, где живет меньше 100 тыс. человек. Кроме Сбербанка, Почта Банка и каких-то местных банков, там обычно больше никого нет, поэтому мы себя чувствуем уверенно. Отделения мы открываем очень быстро и экономно, а наши высокотехнологичные продукты и яркий маркетинг сразу привлекают внимание региональных потребителей. Новая сеть окупается заметно быстрее, чем мы рассчитывали.</w:t>
      </w:r>
    </w:p>
    <w:p w14:paraId="4FBF537E" w14:textId="77777777" w:rsidR="00F334F0" w:rsidRPr="00D40509" w:rsidRDefault="00F334F0" w:rsidP="00F334F0">
      <w:r w:rsidRPr="00D40509">
        <w:t>Около 30% притока новых клиентов идет как раз из нашей новой сети отделений. Сейчас часть банков не открывают новых отделений вообще или закрывают имеющиеся. Но по нашему опыту открытие офиса в городе не приводит к каннибализации интернет-продаж - наоборот, помимо нового привлечения в отделениях мы видим кратный рост продаж в интернете в том же городе.</w:t>
      </w:r>
    </w:p>
    <w:p w14:paraId="79F2FB56" w14:textId="77777777" w:rsidR="00F334F0" w:rsidRPr="00D40509" w:rsidRDefault="00F334F0" w:rsidP="00F334F0">
      <w:r w:rsidRPr="00D40509">
        <w:t>- Какие еще есть эффективные способы привлечения?</w:t>
      </w:r>
    </w:p>
    <w:p w14:paraId="79A10807" w14:textId="77777777" w:rsidR="00F334F0" w:rsidRPr="00D40509" w:rsidRDefault="00F334F0" w:rsidP="00F334F0">
      <w:r w:rsidRPr="00D40509">
        <w:t xml:space="preserve">- Очень хорошо показала себя реферальная программа: клиенты приводят к нам своих друзей и знакомых, и мы, безусловно, клиентов за это вознаграждаем. Причем это не </w:t>
      </w:r>
      <w:r w:rsidRPr="00D40509">
        <w:lastRenderedPageBreak/>
        <w:t>только хороший способ привлечения, но и качественная обратная связь. Если бы у нас был плохой сервис и неудачные продукты, нас бы не рекомендовали даже за большие деньги.</w:t>
      </w:r>
    </w:p>
    <w:p w14:paraId="31BDE310" w14:textId="77777777" w:rsidR="00F334F0" w:rsidRPr="00D40509" w:rsidRDefault="00F334F0" w:rsidP="00F334F0">
      <w:r w:rsidRPr="00D40509">
        <w:t xml:space="preserve">Открытием этого года стал абсолютно новый канал, построенный по канонам многоуровневого сетевого маркетинга, - проект </w:t>
      </w:r>
      <w:r>
        <w:t>«</w:t>
      </w:r>
      <w:r w:rsidRPr="00D40509">
        <w:t>Свой в Альфе</w:t>
      </w:r>
      <w:r>
        <w:t>»</w:t>
      </w:r>
      <w:r w:rsidRPr="00D40509">
        <w:t>. Это был эксперимент в чистом виде, никто в банковской индустрии, не только в России, но и в мире, такого еще не делал. Сегодня в нашу партнерскую сеть входит больше 40 тыс. человек по всей стране. Канал приносит нам ежемесячно свыше 100 тыс. новых клиентов самого высокого качества, хотя мы запустили его меньше года назад. Мы планируем продолжать его масштабировать максимально возможными темпами и заложили под это значимые инвестиции на 2025 год.</w:t>
      </w:r>
    </w:p>
    <w:p w14:paraId="5CBCB3A7" w14:textId="77777777" w:rsidR="00F334F0" w:rsidRPr="00D40509" w:rsidRDefault="00F334F0" w:rsidP="00F334F0">
      <w:r w:rsidRPr="00D40509">
        <w:t>Доля премиум-аудитории и спрос на pre-IPO</w:t>
      </w:r>
    </w:p>
    <w:p w14:paraId="4E44FB83" w14:textId="77777777" w:rsidR="00F334F0" w:rsidRPr="00D40509" w:rsidRDefault="00F334F0" w:rsidP="00F334F0">
      <w:r w:rsidRPr="00D40509">
        <w:t>- Какую долю составляет премиум-аудитория на рынке в целом и среди ваших клиентов?</w:t>
      </w:r>
    </w:p>
    <w:p w14:paraId="4771B55E" w14:textId="77777777" w:rsidR="00F334F0" w:rsidRPr="00D40509" w:rsidRDefault="00F334F0" w:rsidP="00F334F0">
      <w:r w:rsidRPr="00D40509">
        <w:t>- У нас количество премиальных клиентов приближается к отметке 500 тыс. человек. Участники нашей программы Alfa Only составляют около 10% от всего рынка премиальных клиентов. Для нас развитие в этом сегменте - часть долгосрочной стратегии.</w:t>
      </w:r>
    </w:p>
    <w:p w14:paraId="7047BCC0" w14:textId="77777777" w:rsidR="00F334F0" w:rsidRPr="00D40509" w:rsidRDefault="00F334F0" w:rsidP="00F334F0">
      <w:r w:rsidRPr="00D40509">
        <w:t>- Чем сегодня можно удивить премиум-клиентов, учитывая, что продукты для них развивают многие крупные игроки?</w:t>
      </w:r>
    </w:p>
    <w:p w14:paraId="0B20F748" w14:textId="77777777" w:rsidR="00F334F0" w:rsidRPr="00D40509" w:rsidRDefault="00F334F0" w:rsidP="00F334F0">
      <w:r w:rsidRPr="00D40509">
        <w:t>- Один из знаковых для нас проектов этого года - премиальный бизнес-зал Alfa Only Lounge в Шереметьево. В октябре его посетили более 18 тыс. наших премиальных клиентов. Это втрое выше наших ожиданий на этапе запуска. Проект сложный и затратный, но масштаб нашей премиальной клиентской базы позволяет нам его сделать экономически оправданным.</w:t>
      </w:r>
    </w:p>
    <w:p w14:paraId="0ABB3D6E" w14:textId="77777777" w:rsidR="00F334F0" w:rsidRPr="00D40509" w:rsidRDefault="00F334F0" w:rsidP="00F334F0">
      <w:r w:rsidRPr="00D40509">
        <w:t>Повторить любой банковский продукт не составляет труда. А такие проекты формируют сложно копируемое конкурентное преимущество. Мы также открыли фирменный лаунж в Театре на Малой Бронной. То есть стараемся предоставить дополнительные сервисы в разных точках присутствия клиентов.</w:t>
      </w:r>
    </w:p>
    <w:p w14:paraId="4C30683F" w14:textId="77777777" w:rsidR="00F334F0" w:rsidRPr="00D40509" w:rsidRDefault="00F334F0" w:rsidP="00F334F0">
      <w:r w:rsidRPr="00D40509">
        <w:t>- А если говорить о финансовых и, в частности, инвестиционных продуктах? На них еще есть спрос, учитывая высокие ставки по обычным банковским вкладам?</w:t>
      </w:r>
    </w:p>
    <w:p w14:paraId="781C1712" w14:textId="77777777" w:rsidR="00F334F0" w:rsidRPr="00D40509" w:rsidRDefault="00F334F0" w:rsidP="00F334F0">
      <w:r w:rsidRPr="00D40509">
        <w:t>- Да, как я уже говорил, интерес к банковским вкладам возвращается. Тем не менее интерес к инвестициям тоже сохраняется у состоятельных клиентов. Люди думают о том, как альтернативно разместить свои средства. У нас одна из самых лучших инвестиционных экспертиз на рынке, а это важный фактор выбора банка премиальными клиентами.</w:t>
      </w:r>
    </w:p>
    <w:p w14:paraId="68ADF3BD" w14:textId="77777777" w:rsidR="00F334F0" w:rsidRPr="00D40509" w:rsidRDefault="00F334F0" w:rsidP="00F334F0">
      <w:r w:rsidRPr="00D40509">
        <w:t>Наша продуктовая линейка включает в себя очень разные предложения, не только классические. Например, есть возможность участвовать в pre-IPO компаний, которые планируют выйти на биржу только через два-три года. На этапе pre-IPO компании еще не переоценены, и к моменту выхода на рынок бумаги имеют шанс кратно вырасти в цене. Также мы занимаем первое место по объемам размещения цифровых финансовых активов (ЦФА), и многие наши клиенты уже успели ими воспользоваться.</w:t>
      </w:r>
    </w:p>
    <w:p w14:paraId="746C9092" w14:textId="77777777" w:rsidR="00F334F0" w:rsidRPr="00D40509" w:rsidRDefault="00F334F0" w:rsidP="00F334F0">
      <w:r w:rsidRPr="00D40509">
        <w:t>Единый QR-код и перевод ценных бумаг</w:t>
      </w:r>
    </w:p>
    <w:p w14:paraId="03F314FF" w14:textId="77777777" w:rsidR="00F334F0" w:rsidRPr="00D40509" w:rsidRDefault="00F334F0" w:rsidP="00F334F0">
      <w:r w:rsidRPr="00D40509">
        <w:lastRenderedPageBreak/>
        <w:t>- Недавно несколько крупнейших банков объявили о создании консорциума для развития новой системы с единым QR-кодом в дополнение к Системе быстрых платежей (СБП). Зачем участникам рынка и их клиентам нужна такая альтернатива?</w:t>
      </w:r>
    </w:p>
    <w:p w14:paraId="1F793A1A" w14:textId="77777777" w:rsidR="00F334F0" w:rsidRPr="00D40509" w:rsidRDefault="00F334F0" w:rsidP="00F334F0">
      <w:r w:rsidRPr="00D40509">
        <w:t xml:space="preserve">- В 2022 году платежный ландшафт в нашей стране сильно поменялся. До этого платежи обеспечивали две международные компании и российская НСПК (оператор СБП и системы </w:t>
      </w:r>
      <w:r>
        <w:t>«</w:t>
      </w:r>
      <w:r w:rsidRPr="00D40509">
        <w:t>Мир</w:t>
      </w:r>
      <w:r>
        <w:t>»</w:t>
      </w:r>
      <w:r w:rsidRPr="00D40509">
        <w:t xml:space="preserve">. - </w:t>
      </w:r>
      <w:r>
        <w:t>«</w:t>
      </w:r>
      <w:r w:rsidRPr="00D40509">
        <w:t>РБК Тренды</w:t>
      </w:r>
      <w:r>
        <w:t>»</w:t>
      </w:r>
      <w:r w:rsidRPr="00D40509">
        <w:t>). Но, что ж скрывать, теперь рынок стал монопольным.</w:t>
      </w:r>
    </w:p>
    <w:p w14:paraId="08B6CB85" w14:textId="77777777" w:rsidR="00F334F0" w:rsidRPr="00D40509" w:rsidRDefault="00F334F0" w:rsidP="00F334F0">
      <w:r w:rsidRPr="00D40509">
        <w:t>Благодаря НСПК мы не почувствовали проблем с платежами внутри страны после того, как рынок покинули международные игроки. И сейчас она отлично справляется со своими функциями. Но в долгосрочной перспективе, как мне кажется, любой рынок и любая индустрия гораздо устойчивее, если там присутствует конкуренция. Тем более что российский платежный рынок достаточно емкий, и нет оснований говорить о варианте естественной монополии.</w:t>
      </w:r>
    </w:p>
    <w:p w14:paraId="67AA5926" w14:textId="77777777" w:rsidR="00F334F0" w:rsidRPr="00D40509" w:rsidRDefault="00F334F0" w:rsidP="00F334F0">
      <w:r w:rsidRPr="00D40509">
        <w:t>Несмотря на то что все ассоциируют создание консорциума с альтернативной версией единого платежного инструмента в офлайне, это куда более долгосрочная и прогрессивная идея формирования второй федеральной платежной системы, которая не будет привязана к карточным рельсам и станет основой для развития и внедрения новых высокотехнологичных платежных сервисов.</w:t>
      </w:r>
    </w:p>
    <w:p w14:paraId="0D2AEA9D" w14:textId="77777777" w:rsidR="00F334F0" w:rsidRPr="00D40509" w:rsidRDefault="00F334F0" w:rsidP="00F334F0">
      <w:r w:rsidRPr="00D40509">
        <w:t>И то, что крупнейшие игроки платежного рынка готовы ради этого кооперироваться и вкладывать значительные инвестиции, стоит только приветствовать. Тем более что платежная система будет открыта для всех участников рынка. Я уверен, и Банк России, традиционно выступающий за развитие конкуренции на финансовом рынке, нас в этом поддержит.</w:t>
      </w:r>
    </w:p>
    <w:p w14:paraId="42773A6A" w14:textId="77777777" w:rsidR="00F334F0" w:rsidRPr="00D40509" w:rsidRDefault="00F334F0" w:rsidP="00F334F0">
      <w:r w:rsidRPr="00D40509">
        <w:t>- Как будет устроена новая система с точки зрения технологии и клиентского пути?</w:t>
      </w:r>
    </w:p>
    <w:p w14:paraId="7308C2E1" w14:textId="77777777" w:rsidR="00F334F0" w:rsidRPr="00D40509" w:rsidRDefault="00F334F0" w:rsidP="00F334F0">
      <w:r w:rsidRPr="00D40509">
        <w:t xml:space="preserve">- Основой для будущей платежной системы станет платформа MultiQR </w:t>
      </w:r>
      <w:r>
        <w:t>«</w:t>
      </w:r>
      <w:r w:rsidRPr="00D40509">
        <w:t>Сбера</w:t>
      </w:r>
      <w:r>
        <w:t>»</w:t>
      </w:r>
      <w:r w:rsidRPr="00D40509">
        <w:t>, которую он передаст новому юридическому лицу. Клиент сможет отсканировать QR-код и выбрать удобный для него способ оплаты - оплата через СБП, оплата цифровым рублем либо платеж с использованием Pay-сервиса своего банка.</w:t>
      </w:r>
    </w:p>
    <w:p w14:paraId="322931CB" w14:textId="77777777" w:rsidR="00F334F0" w:rsidRPr="00D40509" w:rsidRDefault="00F334F0" w:rsidP="00F334F0">
      <w:r w:rsidRPr="00D40509">
        <w:t>Банковские Pay-сервисы - это феномен российского платежного ландшафта, они буквально недавно ворвались на рынок и набирают обороты. Такого нет в мире. Почти все крупнейшие банки проинвестировали в это, упрощая клиентский опыт и делая платежи максимально простыми и легкими.</w:t>
      </w:r>
    </w:p>
    <w:p w14:paraId="7167FC8E" w14:textId="77777777" w:rsidR="00F334F0" w:rsidRPr="00D40509" w:rsidRDefault="00F334F0" w:rsidP="00F334F0">
      <w:r w:rsidRPr="00D40509">
        <w:t>- Сколько банков присоединится к этому проекту?</w:t>
      </w:r>
    </w:p>
    <w:p w14:paraId="3D50BC30" w14:textId="77777777" w:rsidR="00F334F0" w:rsidRPr="00D40509" w:rsidRDefault="00F334F0" w:rsidP="00F334F0">
      <w:r w:rsidRPr="00D40509">
        <w:t>- Этот вопрос в процессе обсуждения. К технологии, которая будет положена в основу новой системы, уже сейчас подключены 18 банков. На них приходится 80-90% всего платежного рынка. Безусловно, другим банкам предоставят возможность войти в состав участников создаваемой платежной системы, если у них будет желание.</w:t>
      </w:r>
    </w:p>
    <w:p w14:paraId="5D5046CA" w14:textId="77777777" w:rsidR="00F334F0" w:rsidRPr="00D40509" w:rsidRDefault="00F334F0" w:rsidP="00F334F0">
      <w:r w:rsidRPr="00D40509">
        <w:t>- Как вы думаете, для каких проектов, помимо единого QR-кода, могут объединиться банки в ближайшем будущем?</w:t>
      </w:r>
    </w:p>
    <w:p w14:paraId="6BB8ACEA" w14:textId="77777777" w:rsidR="00F334F0" w:rsidRPr="00D40509" w:rsidRDefault="00F334F0" w:rsidP="00F334F0">
      <w:r w:rsidRPr="00D40509">
        <w:t xml:space="preserve">- Одна из последних тем - перевод ценных бумаг между депозитариями. Если ты открыл брокерский счет в одном банке и купил там бумаги, то перевести их в другой банк практически невозможно для обычного клиента. Только все продать, перекинуть </w:t>
      </w:r>
      <w:r w:rsidRPr="00D40509">
        <w:lastRenderedPageBreak/>
        <w:t>деньги и заново купить бумаги в другом банке. Но это время и транзакционные издержки плюс потери из-за изменения цен на рынке.</w:t>
      </w:r>
    </w:p>
    <w:p w14:paraId="26CE7EAD" w14:textId="77777777" w:rsidR="00F334F0" w:rsidRPr="00D40509" w:rsidRDefault="00F334F0" w:rsidP="00F334F0">
      <w:r w:rsidRPr="00D40509">
        <w:t xml:space="preserve">Мы бы хотели создать систему быстрых переводов ценных бумаг по аналогии с Системой быстрых платежей. Такой пилотный проект уже реализуется, но важно чтобы участие в создаваемой системе было не по желанию, а обязательным для всех игроков рынка. Только тогда исчезнет </w:t>
      </w:r>
      <w:r>
        <w:t>«</w:t>
      </w:r>
      <w:r w:rsidRPr="00D40509">
        <w:t>инвестиционное рабство</w:t>
      </w:r>
      <w:r>
        <w:t>»</w:t>
      </w:r>
      <w:r w:rsidRPr="00D40509">
        <w:t xml:space="preserve"> и клиентам будет обеспечено максимальное удобство и подвижность в управлении их портфелями ценных бумаг. Пока, к сожалению, не все банки к этому готовы.</w:t>
      </w:r>
    </w:p>
    <w:p w14:paraId="5ADE7B74" w14:textId="77777777" w:rsidR="00F334F0" w:rsidRPr="00D40509" w:rsidRDefault="00F334F0" w:rsidP="00F334F0">
      <w:r w:rsidRPr="00D40509">
        <w:t>Это лишь один пример, но на самом деле есть много разных направлений для сотрудничества. Мы же не просто сами по себе развиваемся на рынке, а пытаемся рынок менять в лучшую сторону. Очень часто для этого требуется активное вовлечение регулятора. А регулятору важно, чтобы за инициативой стоял не один банк, а группа банков, которые подтверждают, что решения будут полезны для индустрии в целом.</w:t>
      </w:r>
    </w:p>
    <w:p w14:paraId="2432EB5B" w14:textId="77777777" w:rsidR="00F334F0" w:rsidRDefault="00F334F0" w:rsidP="00F334F0">
      <w:hyperlink r:id="rId36" w:history="1">
        <w:r w:rsidRPr="00D40509">
          <w:rPr>
            <w:rStyle w:val="a3"/>
          </w:rPr>
          <w:t>https://trends.rbc.ru/trends/innovation/cmrm/673c72579a79470eeb7e8245</w:t>
        </w:r>
      </w:hyperlink>
    </w:p>
    <w:p w14:paraId="68B477E0" w14:textId="77777777" w:rsidR="00501A6D" w:rsidRPr="00D40509" w:rsidRDefault="00501A6D" w:rsidP="00501A6D"/>
    <w:p w14:paraId="6E67C5C2" w14:textId="77777777" w:rsidR="00111D7C" w:rsidRPr="00D40509" w:rsidRDefault="00111D7C" w:rsidP="00111D7C">
      <w:pPr>
        <w:pStyle w:val="251"/>
      </w:pPr>
      <w:bookmarkStart w:id="131" w:name="_Toc99271712"/>
      <w:bookmarkStart w:id="132" w:name="_Toc99318658"/>
      <w:bookmarkStart w:id="133" w:name="_Toc165991078"/>
      <w:bookmarkStart w:id="134" w:name="_Toc183067349"/>
      <w:bookmarkEnd w:id="122"/>
      <w:bookmarkEnd w:id="123"/>
      <w:r w:rsidRPr="00D40509">
        <w:lastRenderedPageBreak/>
        <w:t>НОВОСТИ ЗАРУБЕЖНЫХ ПЕНСИОННЫХ СИСТЕМ</w:t>
      </w:r>
      <w:bookmarkEnd w:id="131"/>
      <w:bookmarkEnd w:id="132"/>
      <w:bookmarkEnd w:id="133"/>
      <w:bookmarkEnd w:id="134"/>
    </w:p>
    <w:p w14:paraId="1E1A8735" w14:textId="77777777" w:rsidR="00111D7C" w:rsidRPr="00D40509" w:rsidRDefault="00111D7C" w:rsidP="00111D7C">
      <w:pPr>
        <w:pStyle w:val="10"/>
      </w:pPr>
      <w:bookmarkStart w:id="135" w:name="_Toc99271713"/>
      <w:bookmarkStart w:id="136" w:name="_Toc99318659"/>
      <w:bookmarkStart w:id="137" w:name="_Toc165991079"/>
      <w:bookmarkStart w:id="138" w:name="_Toc183067350"/>
      <w:r w:rsidRPr="00D40509">
        <w:t>Новости пенсионной отрасли стран ближнего зарубежья</w:t>
      </w:r>
      <w:bookmarkEnd w:id="135"/>
      <w:bookmarkEnd w:id="136"/>
      <w:bookmarkEnd w:id="137"/>
      <w:bookmarkEnd w:id="138"/>
    </w:p>
    <w:p w14:paraId="7AC1CD19" w14:textId="77777777" w:rsidR="0035144F" w:rsidRPr="00D40509" w:rsidRDefault="0035144F" w:rsidP="0035144F">
      <w:pPr>
        <w:pStyle w:val="2"/>
      </w:pPr>
      <w:bookmarkStart w:id="139" w:name="_Toc183067351"/>
      <w:r w:rsidRPr="00D40509">
        <w:t>kazlenta.kz, 20.11.2024, В Казахстане анонсировали рост средней пенсии в 2025 году. Что нужно знать каждому пенсионеру?</w:t>
      </w:r>
      <w:bookmarkEnd w:id="139"/>
    </w:p>
    <w:p w14:paraId="77E637E8" w14:textId="77777777" w:rsidR="0035144F" w:rsidRPr="00D40509" w:rsidRDefault="0035144F" w:rsidP="00EA17F3">
      <w:pPr>
        <w:pStyle w:val="3"/>
      </w:pPr>
      <w:bookmarkStart w:id="140" w:name="_Toc183067352"/>
      <w:r w:rsidRPr="00D40509">
        <w:t xml:space="preserve">С 1 января 2025 года в соответствии с Законом Республики Казахстан </w:t>
      </w:r>
      <w:r w:rsidR="00D40509">
        <w:t>«</w:t>
      </w:r>
      <w:r w:rsidRPr="00D40509">
        <w:t>О республиканском бюджете на 2025-2027 годы</w:t>
      </w:r>
      <w:r w:rsidR="00D40509">
        <w:t>»</w:t>
      </w:r>
      <w:r w:rsidRPr="00D40509">
        <w:t xml:space="preserve"> и постановлением правительства о повышении пенсионных выплат будет произведен перерасчет пенсий и социальных пособий. Ожидается, что в 2025 году средний размер пенсии составит 96 562 тенге, сообщает kazlenta.kz.</w:t>
      </w:r>
      <w:bookmarkEnd w:id="140"/>
      <w:r w:rsidRPr="00D40509">
        <w:t xml:space="preserve"> </w:t>
      </w:r>
    </w:p>
    <w:p w14:paraId="55FBBAFD" w14:textId="77777777" w:rsidR="0035144F" w:rsidRPr="00D40509" w:rsidRDefault="0035144F" w:rsidP="0035144F">
      <w:r w:rsidRPr="00D40509">
        <w:t>С 1 января 2025 года также планируется ввести следующие минимальные расчетные показатели:</w:t>
      </w:r>
    </w:p>
    <w:p w14:paraId="3541518E" w14:textId="77777777" w:rsidR="0035144F" w:rsidRPr="00D40509" w:rsidRDefault="0035144F" w:rsidP="0035144F">
      <w:r w:rsidRPr="00D40509">
        <w:t xml:space="preserve">    минимальная заработная плата — 85 000 тенге;</w:t>
      </w:r>
    </w:p>
    <w:p w14:paraId="25E27FAA" w14:textId="77777777" w:rsidR="0035144F" w:rsidRPr="00D40509" w:rsidRDefault="0035144F" w:rsidP="0035144F">
      <w:r w:rsidRPr="00D40509">
        <w:t xml:space="preserve">    минимальный размер государственной базовой пенсионной выплаты — 32 360 тенге;</w:t>
      </w:r>
    </w:p>
    <w:p w14:paraId="7D4876BE" w14:textId="77777777" w:rsidR="0035144F" w:rsidRPr="00D40509" w:rsidRDefault="0035144F" w:rsidP="0035144F">
      <w:r w:rsidRPr="00D40509">
        <w:t xml:space="preserve">    минимальная пенсия — 62 771 тенге;</w:t>
      </w:r>
    </w:p>
    <w:p w14:paraId="60005CFE" w14:textId="77777777" w:rsidR="0035144F" w:rsidRPr="00D40509" w:rsidRDefault="0035144F" w:rsidP="0035144F">
      <w:r w:rsidRPr="00D40509">
        <w:t xml:space="preserve">    месячный расчетный показатель (МРП) — 3 932 тенге;</w:t>
      </w:r>
    </w:p>
    <w:p w14:paraId="08FC73CA" w14:textId="77777777" w:rsidR="0035144F" w:rsidRPr="00D40509" w:rsidRDefault="0035144F" w:rsidP="0035144F">
      <w:r w:rsidRPr="00D40509">
        <w:t xml:space="preserve">    величина прожиточного минимума для расчета базовых социальных выплат — 46 228 тенге.</w:t>
      </w:r>
    </w:p>
    <w:p w14:paraId="57F2B4FE" w14:textId="77777777" w:rsidR="0035144F" w:rsidRPr="00D40509" w:rsidRDefault="0035144F" w:rsidP="0035144F">
      <w:r w:rsidRPr="00D40509">
        <w:t>Таким образом, с 1 января 2025 года в Казахстане пенсии увеличатся на 8,5%. Это изменение предусмотрено в проекте республиканского бюджета на 2025-2027 годы.</w:t>
      </w:r>
    </w:p>
    <w:p w14:paraId="15165F59" w14:textId="77777777" w:rsidR="0035144F" w:rsidRPr="00D40509" w:rsidRDefault="00D40509" w:rsidP="0035144F">
      <w:r>
        <w:t>«</w:t>
      </w:r>
      <w:r w:rsidR="0035144F" w:rsidRPr="00D40509">
        <w:t>Определить, что средства, предназначенные для пенсионных выплат по возрасту и за выслугу лет, будут предусмотрены с учетом повышения их размера на 8,5% с 1 января 2025 года</w:t>
      </w:r>
      <w:r>
        <w:t>»</w:t>
      </w:r>
      <w:r w:rsidR="0035144F" w:rsidRPr="00D40509">
        <w:t>, - говорится в законопроекте.</w:t>
      </w:r>
    </w:p>
    <w:p w14:paraId="1654A277" w14:textId="77777777" w:rsidR="00111D7C" w:rsidRPr="00D40509" w:rsidRDefault="0035144F" w:rsidP="0035144F">
      <w:hyperlink r:id="rId37" w:history="1">
        <w:r w:rsidRPr="00D40509">
          <w:rPr>
            <w:rStyle w:val="a3"/>
          </w:rPr>
          <w:t>https://kazlenta.kz/90549-v-kazahstane-anonsirovali-rost-sredney-pensii-v-2025-godu-chto-nuzhno-znat-kazhdomu-pensioneru.html</w:t>
        </w:r>
      </w:hyperlink>
    </w:p>
    <w:p w14:paraId="47E96D7F" w14:textId="77777777" w:rsidR="00004530" w:rsidRPr="00D40509" w:rsidRDefault="00004530" w:rsidP="00004530">
      <w:pPr>
        <w:pStyle w:val="2"/>
      </w:pPr>
      <w:bookmarkStart w:id="141" w:name="_Toc183067353"/>
      <w:r w:rsidRPr="00D40509">
        <w:lastRenderedPageBreak/>
        <w:t>24KZ, 20.11.2024, Почти ₸60 млрд пенсионных активов находятся под управлением частных компаний - Новости Казахстана и мира на сегодня</w:t>
      </w:r>
      <w:bookmarkEnd w:id="141"/>
    </w:p>
    <w:p w14:paraId="611A78CD" w14:textId="77777777" w:rsidR="00004530" w:rsidRPr="00D40509" w:rsidRDefault="00004530" w:rsidP="00EA17F3">
      <w:pPr>
        <w:pStyle w:val="3"/>
      </w:pPr>
      <w:bookmarkStart w:id="142" w:name="_Toc183067354"/>
      <w:r w:rsidRPr="00D40509">
        <w:t xml:space="preserve">Почти в 2,5 раза с начала года увеличились пенсионные накопления казахстанцев под управлением частных брокеров. Общая сумма достигла около 60 миллиардов тенге, сообщает Ranking.kz. Насколько выгодно вкладывать свои накопления в частные компании, и с какими рисками можно столкнуться, выясняла корреспондент </w:t>
      </w:r>
      <w:r w:rsidR="00D40509">
        <w:t>«</w:t>
      </w:r>
      <w:r w:rsidRPr="00D40509">
        <w:t>24KZ</w:t>
      </w:r>
      <w:r w:rsidR="00D40509">
        <w:t>»</w:t>
      </w:r>
      <w:r w:rsidRPr="00D40509">
        <w:t>.</w:t>
      </w:r>
      <w:bookmarkEnd w:id="142"/>
    </w:p>
    <w:p w14:paraId="4F993E3E" w14:textId="77777777" w:rsidR="00004530" w:rsidRPr="00D40509" w:rsidRDefault="00004530" w:rsidP="00004530">
      <w:r w:rsidRPr="00D40509">
        <w:t>По словам экспертов, несмотря на то, что сейчас показатели доходности хоть и демонстрируют рост, говорить, насколько это выгодно, ещё рано. Право перечислить до 50% от суммы своих пенсионных накоплений в частное управление у казахстанцев появилось только в середине прошлого года. Всего за это время было направлено больше 50 тысяч заявлений.</w:t>
      </w:r>
    </w:p>
    <w:p w14:paraId="44F5AE55" w14:textId="77777777" w:rsidR="00004530" w:rsidRPr="00D40509" w:rsidRDefault="00004530" w:rsidP="00004530">
      <w:r w:rsidRPr="00D40509">
        <w:t>Управлением активами в стране на сегодня занимаются пять частных компаний. Лидером по доходности стал Jusan Invest: почти 13% с начала года. В доверительном управлении компании находятся пенсионные активы на общую сумму около 10 миллиардов тенге. На втором месте — Centras Securities: порядка 12,5%. Там сумма составила больше 1,5 миллиарда тенге. Замыкают</w:t>
      </w:r>
      <w:r w:rsidRPr="00D40509">
        <w:rPr>
          <w:lang w:val="en-US"/>
        </w:rPr>
        <w:t xml:space="preserve"> </w:t>
      </w:r>
      <w:r w:rsidRPr="00D40509">
        <w:t>топ</w:t>
      </w:r>
      <w:r w:rsidRPr="00D40509">
        <w:rPr>
          <w:lang w:val="en-US"/>
        </w:rPr>
        <w:t xml:space="preserve">-3 </w:t>
      </w:r>
      <w:r w:rsidRPr="00D40509">
        <w:t>по</w:t>
      </w:r>
      <w:r w:rsidRPr="00D40509">
        <w:rPr>
          <w:lang w:val="en-US"/>
        </w:rPr>
        <w:t xml:space="preserve"> </w:t>
      </w:r>
      <w:r w:rsidRPr="00D40509">
        <w:t>доходности</w:t>
      </w:r>
      <w:r w:rsidRPr="00D40509">
        <w:rPr>
          <w:lang w:val="en-US"/>
        </w:rPr>
        <w:t xml:space="preserve"> Halyk Finance, Halyk Global Markets </w:t>
      </w:r>
      <w:r w:rsidRPr="00D40509">
        <w:t>и</w:t>
      </w:r>
      <w:r w:rsidRPr="00D40509">
        <w:rPr>
          <w:lang w:val="en-US"/>
        </w:rPr>
        <w:t xml:space="preserve"> BCC Invest. </w:t>
      </w:r>
      <w:r w:rsidRPr="00D40509">
        <w:t>Уровень доходности определяется стратегией каждой компании.</w:t>
      </w:r>
    </w:p>
    <w:p w14:paraId="202DDC9B" w14:textId="77777777" w:rsidR="00004530" w:rsidRPr="00D40509" w:rsidRDefault="00004530" w:rsidP="00004530">
      <w:r w:rsidRPr="00D40509">
        <w:t>Пенсионные накопления переводятся в течение 30 календарных дней с момента поступления заявления. После перевода частные компании должны обеспечить гарантию минимального уровня доходности. При этом они вправе взимать комиссию, не превышающую 7,5% от дохода. Вернуть активы под управление Нацбанка вкладчик может лишь за 10 дней до достижения пенсионного возраста.</w:t>
      </w:r>
    </w:p>
    <w:p w14:paraId="1A74E51A" w14:textId="77777777" w:rsidR="00004530" w:rsidRPr="00D40509" w:rsidRDefault="00004530" w:rsidP="00004530">
      <w:r w:rsidRPr="00D40509">
        <w:t>ЦИТАТА:</w:t>
      </w:r>
    </w:p>
    <w:p w14:paraId="1185D22B" w14:textId="77777777" w:rsidR="00004530" w:rsidRPr="00D40509" w:rsidRDefault="00004530" w:rsidP="00004530">
      <w:r w:rsidRPr="00D40509">
        <w:t>- Показатель рассчитывается исходя из средневзвешенной доходности пенсионных активов, переданных в управление, действующим на рынке. Минимальная и средневзвешенная доходность по пенсионным активам ежемесячно рассчитываются и публикуются на официальном сайте Национального Банка Республики Казахстан. В случае возникновения отрицательной разницы по итогам года между номинальной доходностью, полученной управляющей инвестиционным портфелем, и минимальным значением доходности пенсионных активов, управляющая компания обязана возместить данную разницу вкладчику за счёт собственных средств.</w:t>
      </w:r>
    </w:p>
    <w:p w14:paraId="55DC662E" w14:textId="77777777" w:rsidR="00004530" w:rsidRPr="00D40509" w:rsidRDefault="00004530" w:rsidP="00004530">
      <w:r w:rsidRPr="00D40509">
        <w:t>Всего в частные компании казахстанцы подали больше 50 тысяч заявок. При этом отказ получили порядка 7 тысяч человек.</w:t>
      </w:r>
    </w:p>
    <w:p w14:paraId="0348D326" w14:textId="77777777" w:rsidR="00004530" w:rsidRPr="00D40509" w:rsidRDefault="00004530" w:rsidP="00004530">
      <w:r w:rsidRPr="00D40509">
        <w:t>По словам экспертов, выбирать компанию необходимо, изучив все показатели доходности. При этом отмечают, что риски потерь вкладчиков минимальны.</w:t>
      </w:r>
    </w:p>
    <w:p w14:paraId="1BD90384" w14:textId="77777777" w:rsidR="00004530" w:rsidRPr="00D40509" w:rsidRDefault="00004530" w:rsidP="00004530">
      <w:r w:rsidRPr="00D40509">
        <w:t>Арман Бейсембаев, финансовый аналитик:</w:t>
      </w:r>
    </w:p>
    <w:p w14:paraId="6F68A6F6" w14:textId="77777777" w:rsidR="00004530" w:rsidRPr="00D40509" w:rsidRDefault="00004530" w:rsidP="00004530">
      <w:r w:rsidRPr="00D40509">
        <w:t xml:space="preserve">- У управляющих, в том числе у Нацбанка, риски минимизированы. Самый большой риск — рыночный риск, это падение цены. То есть вы купили какие-то бумаги, а они упали в цене, и у вас идет бумажный убыток. Если вы не продали эти бумаги, убыток пока считается нереализованным, то есть это бумажный убыток. Он фактически есть, </w:t>
      </w:r>
      <w:r w:rsidRPr="00D40509">
        <w:lastRenderedPageBreak/>
        <w:t>но пока не осуществили обратную сделку, то есть пока не продали, никакого убытка фактически нет. Это значит, что в принципе, если эти бумаги в дальнейшем вырастут, то есть шанс, что вы сможете нивелировать этот бумажный убыток и сделать так, как будто его не было.</w:t>
      </w:r>
    </w:p>
    <w:p w14:paraId="1CDA0B34" w14:textId="77777777" w:rsidR="0035144F" w:rsidRPr="00D40509" w:rsidRDefault="00004530" w:rsidP="00004530">
      <w:hyperlink r:id="rId38" w:history="1">
        <w:r w:rsidRPr="00D40509">
          <w:rPr>
            <w:rStyle w:val="a3"/>
          </w:rPr>
          <w:t>https://24.kz/ru/news/economyc/item/681474-pochti-60-mlrd-pensionnykh-aktivov-nakhodyatsya-pod-upravleniem-chastnykh-kompanij</w:t>
        </w:r>
      </w:hyperlink>
    </w:p>
    <w:p w14:paraId="73EC89A7" w14:textId="77777777" w:rsidR="00004530" w:rsidRPr="00D40509" w:rsidRDefault="00004530" w:rsidP="00004530"/>
    <w:p w14:paraId="5469BB9C" w14:textId="77777777" w:rsidR="00111D7C" w:rsidRPr="00D40509" w:rsidRDefault="00111D7C" w:rsidP="00111D7C">
      <w:pPr>
        <w:pStyle w:val="10"/>
      </w:pPr>
      <w:bookmarkStart w:id="143" w:name="_Toc99271715"/>
      <w:bookmarkStart w:id="144" w:name="_Toc99318660"/>
      <w:bookmarkStart w:id="145" w:name="_Toc165991080"/>
      <w:bookmarkStart w:id="146" w:name="_Toc183067355"/>
      <w:r w:rsidRPr="00D40509">
        <w:t>Новости пенсионной отрасли стран дальнего зарубежья</w:t>
      </w:r>
      <w:bookmarkEnd w:id="143"/>
      <w:bookmarkEnd w:id="144"/>
      <w:bookmarkEnd w:id="145"/>
      <w:bookmarkEnd w:id="146"/>
    </w:p>
    <w:p w14:paraId="774F37E5" w14:textId="77777777" w:rsidR="00525263" w:rsidRPr="00D40509" w:rsidRDefault="00525263" w:rsidP="00525263">
      <w:pPr>
        <w:pStyle w:val="2"/>
      </w:pPr>
      <w:bookmarkStart w:id="147" w:name="_Hlk183067230"/>
      <w:bookmarkStart w:id="148" w:name="_Toc183067356"/>
      <w:bookmarkEnd w:id="102"/>
      <w:r w:rsidRPr="00D40509">
        <w:t>stimul.online, 20.11.2024, Расти стартап на пенсию</w:t>
      </w:r>
      <w:bookmarkEnd w:id="148"/>
    </w:p>
    <w:p w14:paraId="35203F6F" w14:textId="77777777" w:rsidR="00525263" w:rsidRPr="00D40509" w:rsidRDefault="00525263" w:rsidP="00EA17F3">
      <w:pPr>
        <w:pStyle w:val="3"/>
      </w:pPr>
      <w:bookmarkStart w:id="149" w:name="_Toc183067357"/>
      <w:r w:rsidRPr="00D40509">
        <w:t>Лейбористское правительство Великобритании разработало масштабный план консолидации разрозненных схем пенсионных фондов. Цель — значительно увеличить инвестиции в развитие новых компаний-стартапов и дополнительно подпитывать фонды венчурных инвестиций.</w:t>
      </w:r>
      <w:bookmarkEnd w:id="149"/>
    </w:p>
    <w:p w14:paraId="312E46E3" w14:textId="77777777" w:rsidR="00525263" w:rsidRPr="00D40509" w:rsidRDefault="00525263" w:rsidP="00525263">
      <w:r w:rsidRPr="00D40509">
        <w:t>О новом плане правительства объявила 14 ноября министр финансов (канцлер казначейства) Великобритании Рейчел Ривз в своем первом выступлении перед лидерами бизнеса в лондонском Mansion House (официальной резиденции лорда-мэра Лондона).</w:t>
      </w:r>
    </w:p>
    <w:p w14:paraId="576249D5" w14:textId="77777777" w:rsidR="00525263" w:rsidRPr="00D40509" w:rsidRDefault="00525263" w:rsidP="00525263">
      <w:r w:rsidRPr="00D40509">
        <w:t xml:space="preserve">Ривз заявила, что запланированные изменения станут </w:t>
      </w:r>
      <w:r w:rsidR="00D40509">
        <w:t>«</w:t>
      </w:r>
      <w:r w:rsidRPr="00D40509">
        <w:t>крупнейшей реформой пенсионного рынка за последние десятилетия</w:t>
      </w:r>
      <w:r w:rsidR="00D40509">
        <w:t>»</w:t>
      </w:r>
      <w:r w:rsidRPr="00D40509">
        <w:t xml:space="preserve">, она поможет высвободить порядка 80 миллиардов фунтов стерлингов (примерно 100 млрд долларов США. — “Стимул”) для инвестиций в экономику страны. Генеральная идея правительства заключается в том, что мобилизация в </w:t>
      </w:r>
      <w:r w:rsidR="00D40509">
        <w:t>«</w:t>
      </w:r>
      <w:r w:rsidRPr="00D40509">
        <w:t>мегафонды</w:t>
      </w:r>
      <w:r w:rsidR="00D40509">
        <w:t>»</w:t>
      </w:r>
      <w:r w:rsidRPr="00D40509">
        <w:t xml:space="preserve"> капитала пенсионных фондов прежде всего должна помочь компенсировать острую нехватку финансирования частного технологического сектора страны, особенно на поздних этапах.</w:t>
      </w:r>
    </w:p>
    <w:p w14:paraId="70B74246" w14:textId="77777777" w:rsidR="00525263" w:rsidRPr="00D40509" w:rsidRDefault="00525263" w:rsidP="00525263">
      <w:r w:rsidRPr="00D40509">
        <w:t>Сама идея более активно задействовать средства пенсионных фондов для увеличения финансирования частных компаний возникла еще при предыдущем, консервативном правительстве Великобритании. Эта инициатива, получившая название Mansion House Compact, была анонсирована в июле 2023 года тогдашним канцлером Джереми Хантом и касалась фондов с установленными взносами (Defined Contribution Funds, DC-funds), в которые делают регулярные пенсионные отчисления работники и работодатели.</w:t>
      </w:r>
    </w:p>
    <w:p w14:paraId="417665B9" w14:textId="77777777" w:rsidR="00525263" w:rsidRPr="00D40509" w:rsidRDefault="00525263" w:rsidP="00525263">
      <w:r w:rsidRPr="00D40509">
        <w:t>Непосредственными участниками Mansion House Compact стали девять ведущих DC-фондов страны, на которые приходится порядка двух третей всех средств этого сегмента британского пенсионного рынка.</w:t>
      </w:r>
    </w:p>
    <w:p w14:paraId="7629526E" w14:textId="77777777" w:rsidR="00525263" w:rsidRPr="00D40509" w:rsidRDefault="00525263" w:rsidP="00525263">
      <w:r w:rsidRPr="00D40509">
        <w:t>Впрочем, тогда эти фонды фактически лишь публично декларировали свое желание увеличить поддержку частного бизнеса, а предложенные новой главой минфина Ривз реформы предполагают куда более значительные изменения в британском законодательстве.</w:t>
      </w:r>
    </w:p>
    <w:p w14:paraId="2A4C3934" w14:textId="77777777" w:rsidR="00525263" w:rsidRPr="00D40509" w:rsidRDefault="00525263" w:rsidP="00525263">
      <w:r w:rsidRPr="00D40509">
        <w:t xml:space="preserve">По оценкам ряда аналитиков, к концу десятилетия совокупный объем активов под управлением пенсионных фондов местного самоуправления (Local Government Pension </w:t>
      </w:r>
      <w:r w:rsidRPr="00D40509">
        <w:lastRenderedPageBreak/>
        <w:t>Scheme, LGPS) и DC-фондов достигнет 1,3 трлн фунтов стерлингов, однако пока лишь очень небольшая часть этих активов инвестируется в частные компании. Предыдущее консервативное правительство Великобритании подсчитало, что пенсионные фонды DC инвестируют в не котирующиеся на бирже компании менее 1% своих активов.</w:t>
      </w:r>
    </w:p>
    <w:p w14:paraId="493B4174" w14:textId="77777777" w:rsidR="00525263" w:rsidRPr="00D40509" w:rsidRDefault="00525263" w:rsidP="00525263">
      <w:r w:rsidRPr="00D40509">
        <w:t xml:space="preserve">Восемь </w:t>
      </w:r>
      <w:r w:rsidR="00D40509">
        <w:t>«</w:t>
      </w:r>
      <w:r w:rsidRPr="00D40509">
        <w:t>мегафондов</w:t>
      </w:r>
      <w:r w:rsidR="00D40509">
        <w:t>»</w:t>
      </w:r>
    </w:p>
    <w:p w14:paraId="014AD683" w14:textId="77777777" w:rsidR="00525263" w:rsidRPr="00D40509" w:rsidRDefault="00525263" w:rsidP="00525263">
      <w:r w:rsidRPr="00D40509">
        <w:t xml:space="preserve">Согласно комментариям г-жи Ривз, в следующем году правительство Великобритании представит новый законопроект о пенсионном обеспечении, направленный на объединение 86 автономных пенсионных схем местных органов власти (LGPS) в Англии и Уэльсе (то есть эти реформы пока не коснутся Шотландии и Северной Ирландии) в восемь </w:t>
      </w:r>
      <w:r w:rsidR="00D40509">
        <w:t>«</w:t>
      </w:r>
      <w:r w:rsidRPr="00D40509">
        <w:t>мегафондов</w:t>
      </w:r>
      <w:r w:rsidR="00D40509">
        <w:t>»</w:t>
      </w:r>
      <w:r w:rsidRPr="00D40509">
        <w:t xml:space="preserve"> к 2030 году. Участниками системы LGPS являются 6,5 млн граждан Соединенного Королевства, эти фонды управляют активами на общую сумму 360 млрд фунтов стерлингов (к 2030 году эта сумма предположительно вырастет до 500 млрд).</w:t>
      </w:r>
    </w:p>
    <w:p w14:paraId="2F140B20" w14:textId="77777777" w:rsidR="00525263" w:rsidRPr="00D40509" w:rsidRDefault="00525263" w:rsidP="00525263">
      <w:r w:rsidRPr="00D40509">
        <w:t>Это решение напоминает успешно действующую на протяжении многих лет схему поддержки частного бизнеса в Канаде и Австралии, где пенсионные планы государственных служащих объединены в более крупные фонды, которыми управляют профессиональные инвесторы.</w:t>
      </w:r>
    </w:p>
    <w:p w14:paraId="2EFB928F" w14:textId="77777777" w:rsidR="00525263" w:rsidRPr="00D40509" w:rsidRDefault="00525263" w:rsidP="00525263">
      <w:r w:rsidRPr="00D40509">
        <w:t>По оценкам ряда аналитиков, к концу десятилетия совокупный объем активов под управлением пенсионных фондов местного самоуправления и DC-фондов достигнет 1,3 трлн фунтов стерлингов, однако пока лишь очень небольшая часть этих активов инвестируется в частные компании</w:t>
      </w:r>
    </w:p>
    <w:p w14:paraId="04324551" w14:textId="77777777" w:rsidR="00525263" w:rsidRPr="00D40509" w:rsidRDefault="00525263" w:rsidP="00525263">
      <w:r w:rsidRPr="00D40509">
        <w:t>Так, крупнейший канадский государственный пенсионный фонд CPP Investments, под управлением которого находятся активы на общую сумму почти 600 млрд канадских долларов, неоднократно осуществлял серьезные инвестиции в частные европейские технокомпании, в том числе в 2021 году он предоставил 300 млн долларов перспективному британскому стартапу Octopus Energy (что показательно, эта разовая сумма превысила общий объем инвестиций пенсионных фондов самой Великобритании в британские стартапы за весь следующий 2022 год). В свою очередь, австралийские пенсионные фонды, по оценкам британского правительства, инвестируют в частные акционерные компании примерно на порядок больше, чем пенсионные DC-фонды в Великобритании.</w:t>
      </w:r>
    </w:p>
    <w:p w14:paraId="1799E997" w14:textId="77777777" w:rsidR="00525263" w:rsidRPr="00D40509" w:rsidRDefault="00525263" w:rsidP="00525263">
      <w:r w:rsidRPr="00D40509">
        <w:t>В то же время, по информации Financial Times, Ривз и ее команда не стали рассматривать более радикальный вариант с созданием на базе британских LGPS-фондов единого пенсионного фонда по канадскому образцу.</w:t>
      </w:r>
    </w:p>
    <w:p w14:paraId="06A307AF" w14:textId="77777777" w:rsidR="00525263" w:rsidRPr="00D40509" w:rsidRDefault="00525263" w:rsidP="00525263">
      <w:r w:rsidRPr="00D40509">
        <w:t xml:space="preserve">И, как отмечают ведущие британские СМИ, пока этот план нового лейбористского правительства пользуется довольно широкой поддержкой как среди политиков, в том числе у консерваторов, так и в бизнес-сообществе и внутри самой пенсионной индустрии. В частности, бывший министр финансов Джереми Хант уже отметил, что в новых планах Ривз </w:t>
      </w:r>
      <w:r w:rsidR="00D40509">
        <w:t>«</w:t>
      </w:r>
      <w:r w:rsidRPr="00D40509">
        <w:t>есть много интересного</w:t>
      </w:r>
      <w:r w:rsidR="00D40509">
        <w:t>»</w:t>
      </w:r>
      <w:r w:rsidRPr="00D40509">
        <w:t>, добавив, что в целом они повторяют ту же стратегию и подход, о которых он объявил в прошлом году в том же Mansion House.</w:t>
      </w:r>
    </w:p>
    <w:p w14:paraId="376A7AC9" w14:textId="77777777" w:rsidR="00525263" w:rsidRPr="00D40509" w:rsidRDefault="00525263" w:rsidP="00525263">
      <w:r w:rsidRPr="00D40509">
        <w:t xml:space="preserve">А Дом Халлас, исполнительный директор лоббистской группы Startup Coalition, оптимистично констатировал, что </w:t>
      </w:r>
      <w:r w:rsidR="00D40509">
        <w:t>«</w:t>
      </w:r>
      <w:r w:rsidRPr="00D40509">
        <w:t xml:space="preserve">реформа пенсионных фондов — это один из самых больших рычагов роста, за которые может потянуть казначейство… И как только это </w:t>
      </w:r>
      <w:r w:rsidRPr="00D40509">
        <w:lastRenderedPageBreak/>
        <w:t>будет сделано, мы увидим, как в британскую венчурную технологическую экосистему начнут поступать новые миллиарды</w:t>
      </w:r>
      <w:r w:rsidR="00D40509">
        <w:t>»</w:t>
      </w:r>
      <w:r w:rsidRPr="00D40509">
        <w:t>.</w:t>
      </w:r>
    </w:p>
    <w:p w14:paraId="0AF547AD" w14:textId="77777777" w:rsidR="00525263" w:rsidRPr="00D40509" w:rsidRDefault="00525263" w:rsidP="00525263">
      <w:r w:rsidRPr="00D40509">
        <w:t xml:space="preserve">Британское казначейство сообщило, что правительство вскоре проведет </w:t>
      </w:r>
      <w:r w:rsidR="00D40509">
        <w:t>«</w:t>
      </w:r>
      <w:r w:rsidRPr="00D40509">
        <w:t>консультации по планам использования преимуществ размера пенсионных фондов и улучшения управления ими</w:t>
      </w:r>
      <w:r w:rsidR="00D40509">
        <w:t>»</w:t>
      </w:r>
      <w:r w:rsidRPr="00D40509">
        <w:t xml:space="preserve">. Эти консультации будут включать в себя вопросы установления каждым управляющим органом целевых показателей для осуществления инвестиций в местную экономику. В частности, казначейство предполагает, что минимальный целевой показатель в 5% для </w:t>
      </w:r>
      <w:r w:rsidR="00D40509">
        <w:t>«</w:t>
      </w:r>
      <w:r w:rsidRPr="00D40509">
        <w:t>местных</w:t>
      </w:r>
      <w:r w:rsidR="00D40509">
        <w:t>»</w:t>
      </w:r>
      <w:r w:rsidRPr="00D40509">
        <w:t xml:space="preserve"> инвестиций может обеспечить не менее 20 млрд фунтов стерлингов для поддержки частного бизнеса.</w:t>
      </w:r>
    </w:p>
    <w:p w14:paraId="7ECB8120" w14:textId="77777777" w:rsidR="00525263" w:rsidRPr="00D40509" w:rsidRDefault="00525263" w:rsidP="00525263">
      <w:r w:rsidRPr="00D40509">
        <w:t>Немецкая инициатива и французский пример</w:t>
      </w:r>
    </w:p>
    <w:p w14:paraId="60259B30" w14:textId="77777777" w:rsidR="00525263" w:rsidRPr="00D40509" w:rsidRDefault="00525263" w:rsidP="00525263">
      <w:r w:rsidRPr="00D40509">
        <w:t xml:space="preserve">А два месяца назад, 18 сентября, схожие идеи о более активном привлечении финансовых ресурсов из различных </w:t>
      </w:r>
      <w:r w:rsidR="00D40509">
        <w:t>«</w:t>
      </w:r>
      <w:r w:rsidRPr="00D40509">
        <w:t>нетрадиционных</w:t>
      </w:r>
      <w:r w:rsidR="00D40509">
        <w:t>»</w:t>
      </w:r>
      <w:r w:rsidRPr="00D40509">
        <w:t xml:space="preserve"> источников, в том числе пенсионных фондов, для стимулирования роста национальной индустрии (и прежде всего ее технологической составляющей) были обнародованы и в другой крупнейшей промышленной державе Старой Европы, — Германии.</w:t>
      </w:r>
    </w:p>
    <w:p w14:paraId="1DBF764D" w14:textId="77777777" w:rsidR="00525263" w:rsidRPr="00D40509" w:rsidRDefault="00525263" w:rsidP="00525263">
      <w:r w:rsidRPr="00D40509">
        <w:t>На саммите Startup Germany так называемую инициативу WIN — декларацию о намерениях проинвестировать стартап-сектор страны к 2030 году на сумму порядка 12 млрд евро — официально поддержали представители многих крупнейших государственных и частных фондов и кредитных учреждений, в частности Deutsche Bank, Allianz, Commerzbank, Deutsche Telekom, AXA Deutschland и ряда ведущих страховых компаний страны.</w:t>
      </w:r>
    </w:p>
    <w:p w14:paraId="552A3719" w14:textId="77777777" w:rsidR="00525263" w:rsidRPr="00D40509" w:rsidRDefault="00525263" w:rsidP="00525263">
      <w:r w:rsidRPr="00D40509">
        <w:t xml:space="preserve">Инициатива WIN состоит из генерального плана из 10 пунктов, в числе которых меры по расширению сотрудничества между университетами, инвесторами и компаниями, улучшению рамочных условий для IPO и успешных </w:t>
      </w:r>
      <w:r w:rsidR="00D40509">
        <w:t>«</w:t>
      </w:r>
      <w:r w:rsidRPr="00D40509">
        <w:t>выходов</w:t>
      </w:r>
      <w:r w:rsidR="00D40509">
        <w:t>»</w:t>
      </w:r>
      <w:r w:rsidRPr="00D40509">
        <w:t xml:space="preserve"> стартапов, укреплению вторичного рынка акций венчурных фондов.</w:t>
      </w:r>
    </w:p>
    <w:p w14:paraId="4F908CBA" w14:textId="77777777" w:rsidR="00525263" w:rsidRPr="00D40509" w:rsidRDefault="00D40509" w:rsidP="00525263">
      <w:r>
        <w:t>«</w:t>
      </w:r>
      <w:r w:rsidR="00525263" w:rsidRPr="00D40509">
        <w:t>Реформа пенсионных фондов — это один из самых больших рычагов роста, за которые может потянуть казначейство… И как только это будет сделано, мы увидим, как в британскую венчурную технологическую экосистему начнут поступать новые миллиарды</w:t>
      </w:r>
      <w:r>
        <w:t>»</w:t>
      </w:r>
    </w:p>
    <w:p w14:paraId="7773A2D2" w14:textId="77777777" w:rsidR="00525263" w:rsidRPr="00D40509" w:rsidRDefault="00525263" w:rsidP="00525263">
      <w:r w:rsidRPr="00D40509">
        <w:t xml:space="preserve">Комментируя эту инициативу, Верена Пауздер, председатель Немецкой ассоциации стартапов, в частности, отметила, что она </w:t>
      </w:r>
      <w:r w:rsidR="00D40509">
        <w:t>«</w:t>
      </w:r>
      <w:r w:rsidRPr="00D40509">
        <w:t>конкретно направлена на решение проблемы финансирования роста и является важным шагом в правильном направлении. Это может по-настоящему изменить правила игры — подобно тому, что уже удалось сделать во Франции благодаря инициативе Tibi</w:t>
      </w:r>
      <w:r w:rsidR="00D40509">
        <w:t>»</w:t>
      </w:r>
      <w:r w:rsidRPr="00D40509">
        <w:t>.</w:t>
      </w:r>
    </w:p>
    <w:p w14:paraId="2A3A37AB" w14:textId="77777777" w:rsidR="00525263" w:rsidRPr="00D40509" w:rsidRDefault="00525263" w:rsidP="00525263">
      <w:r w:rsidRPr="00D40509">
        <w:t>Отсылка к полезному французскому опыту подкрепляется конкретными цифрами: уже на начальной фазе действия программы Tibi (она запущена еще в 2019-м), в период с 2020 по 2022 год, основной заявленной целью которой является рост финансирования технологических компаний за счет мобилизации средств институциональных инвесторов (LPs), последние направили более 6 млрд евро на поддержку развития национальной технологической экосистемы (в фонды прямых инвестиций на поздних стадиях и в публично торгуемые технологические компании).</w:t>
      </w:r>
    </w:p>
    <w:p w14:paraId="16766BD2" w14:textId="77777777" w:rsidR="00525263" w:rsidRPr="00D40509" w:rsidRDefault="00525263" w:rsidP="00525263">
      <w:r w:rsidRPr="00D40509">
        <w:t xml:space="preserve">И, как следует из официального комментария на интернет-сайте министерства экономики, финансов и промышленности Франции, вторая фаза этой программы </w:t>
      </w:r>
      <w:r w:rsidRPr="00D40509">
        <w:lastRenderedPageBreak/>
        <w:t>(2023</w:t>
      </w:r>
      <w:r w:rsidRPr="00D40509">
        <w:rPr>
          <w:rFonts w:ascii="Cambria Math" w:hAnsi="Cambria Math" w:cs="Cambria Math"/>
        </w:rPr>
        <w:t>‒</w:t>
      </w:r>
      <w:r w:rsidRPr="00D40509">
        <w:t xml:space="preserve">2026 годы) преследует цель </w:t>
      </w:r>
      <w:r w:rsidR="00D40509">
        <w:t>«</w:t>
      </w:r>
      <w:r w:rsidRPr="00D40509">
        <w:t>закрепить эти успехи</w:t>
      </w:r>
      <w:r w:rsidR="00D40509">
        <w:t>»</w:t>
      </w:r>
      <w:r w:rsidRPr="00D40509">
        <w:t xml:space="preserve">, а ее непосредственные участники обязались вложить на новом этапе еще 7 млрд евро, причем он будет охватывать </w:t>
      </w:r>
      <w:r w:rsidR="00D40509">
        <w:t>«</w:t>
      </w:r>
      <w:r w:rsidRPr="00D40509">
        <w:t>более широкую сферу: в дополнение к технологическим сегментам поздних стадий и публично торгуемым компаниям будет также задействован сегмент ранних стадий (первичный пул технологических стартапов), в том числе предусматривается финансирование прорывных инновационных проектов</w:t>
      </w:r>
      <w:r w:rsidR="00D40509">
        <w:t>»</w:t>
      </w:r>
      <w:r w:rsidRPr="00D40509">
        <w:t xml:space="preserve">. </w:t>
      </w:r>
    </w:p>
    <w:p w14:paraId="581322D1" w14:textId="77777777" w:rsidR="00CA32BC" w:rsidRPr="00D40509" w:rsidRDefault="00525263" w:rsidP="00525263">
      <w:hyperlink r:id="rId39" w:history="1">
        <w:r w:rsidRPr="00D40509">
          <w:rPr>
            <w:rStyle w:val="a3"/>
          </w:rPr>
          <w:t>https://stimul.online/articles/sreda/rasti-startap-na-pensiyu/</w:t>
        </w:r>
      </w:hyperlink>
    </w:p>
    <w:p w14:paraId="712B895C" w14:textId="77777777" w:rsidR="00A7578E" w:rsidRPr="00D40509" w:rsidRDefault="00A7578E" w:rsidP="00A7578E">
      <w:pPr>
        <w:pStyle w:val="2"/>
      </w:pPr>
      <w:bookmarkStart w:id="150" w:name="_Toc183067358"/>
      <w:bookmarkEnd w:id="147"/>
      <w:r w:rsidRPr="00D40509">
        <w:t>РИА Новости, 20.11.2024, Предложение левых об отмене пенсионной реформы в Нацсобрании Франции рассмотрят 28 ноября</w:t>
      </w:r>
      <w:bookmarkEnd w:id="150"/>
    </w:p>
    <w:p w14:paraId="2E417BAB" w14:textId="77777777" w:rsidR="00A7578E" w:rsidRPr="00D40509" w:rsidRDefault="00A7578E" w:rsidP="00EA17F3">
      <w:pPr>
        <w:pStyle w:val="3"/>
      </w:pPr>
      <w:bookmarkStart w:id="151" w:name="_Toc183067359"/>
      <w:r w:rsidRPr="00D40509">
        <w:t xml:space="preserve">Предложение об отмене резонансной пенсионной реформы во Франции, внесённое в парламент левой партией </w:t>
      </w:r>
      <w:r w:rsidR="00D40509">
        <w:t>«</w:t>
      </w:r>
      <w:r w:rsidRPr="00D40509">
        <w:t>Непокорившаяся Франция</w:t>
      </w:r>
      <w:r w:rsidR="00D40509">
        <w:t>»</w:t>
      </w:r>
      <w:r w:rsidRPr="00D40509">
        <w:t xml:space="preserve"> (LFI), будет рассмотрено 28 ноября, сообщает издание Figaro.</w:t>
      </w:r>
      <w:bookmarkEnd w:id="151"/>
    </w:p>
    <w:p w14:paraId="213222AB" w14:textId="77777777" w:rsidR="00A7578E" w:rsidRPr="00D40509" w:rsidRDefault="00A7578E" w:rsidP="00A7578E">
      <w:r w:rsidRPr="00D40509">
        <w:t>В среду комиссия по социальным вопросам Нацсобрания Франции, нижней палаты французского парламента, одобрила рассмотрение предложения левых.</w:t>
      </w:r>
    </w:p>
    <w:p w14:paraId="1B68C1E8" w14:textId="77777777" w:rsidR="00A7578E" w:rsidRPr="00D40509" w:rsidRDefault="00D40509" w:rsidP="00A7578E">
      <w:r>
        <w:t>«</w:t>
      </w:r>
      <w:r w:rsidR="00A7578E" w:rsidRPr="00D40509">
        <w:t xml:space="preserve">Депутаты комитета по социальным вопросам приняли представленный группой LFI в рамках ее парламентской ниши, которая состоится 28 ноября. Предложение поддержали все левые силы, а также представители правой партии </w:t>
      </w:r>
      <w:r>
        <w:t>«</w:t>
      </w:r>
      <w:r w:rsidR="00A7578E" w:rsidRPr="00D40509">
        <w:t>Национальное объединение</w:t>
      </w:r>
      <w:r>
        <w:t>»</w:t>
      </w:r>
      <w:r w:rsidR="00A7578E" w:rsidRPr="00D40509">
        <w:t>, - пишет газета.</w:t>
      </w:r>
    </w:p>
    <w:p w14:paraId="1CE39536" w14:textId="77777777" w:rsidR="00A7578E" w:rsidRPr="00D40509" w:rsidRDefault="00A7578E" w:rsidP="00A7578E">
      <w:r w:rsidRPr="00D40509">
        <w:t>Всего в комитете 35 депутатов одобрили текст, 16 парламентариев из партии правых и центристов выступили против.</w:t>
      </w:r>
    </w:p>
    <w:p w14:paraId="61DFE75F" w14:textId="77777777" w:rsidR="00A7578E" w:rsidRPr="00D40509" w:rsidRDefault="00A7578E" w:rsidP="00A7578E">
      <w:r w:rsidRPr="00D40509">
        <w:t>Главным требованием оппозиции остается возвращение к пенсионному возрасту в 62 года. Они также намерены отменить поправку, согласно которой для выхода на пенсию необходимо работать 43, а не 42 года, как было ранее.</w:t>
      </w:r>
    </w:p>
    <w:p w14:paraId="65BC0E89" w14:textId="77777777" w:rsidR="00A7578E" w:rsidRPr="00D40509" w:rsidRDefault="00A7578E" w:rsidP="00A7578E">
      <w:r w:rsidRPr="00D40509">
        <w:t>Согласно опросу компании Toluna/Harris Interactive, опубликованному накануне, 71% французов по-прежнему против этой реформы, напоминает издание.</w:t>
      </w:r>
    </w:p>
    <w:p w14:paraId="7A86949A" w14:textId="77777777" w:rsidR="00A7578E" w:rsidRPr="00D40509" w:rsidRDefault="00A7578E" w:rsidP="00A7578E">
      <w:r w:rsidRPr="00D40509">
        <w:t xml:space="preserve">Аналогичную инициативу по отмене пенсионной реформы ранее приняла партия Марин Ле Пен </w:t>
      </w:r>
      <w:r w:rsidR="00D40509">
        <w:t>«</w:t>
      </w:r>
      <w:r w:rsidRPr="00D40509">
        <w:t>Национальное объединение</w:t>
      </w:r>
      <w:r w:rsidR="00D40509">
        <w:t>»</w:t>
      </w:r>
      <w:r w:rsidRPr="00D40509">
        <w:t>. Она должна была быть рассмотрена в ходе парламентской ниши партии 31 октября, но левые решили не поддерживать ее и выступить с собственной резолюцией об отмене реформы. Таки образом, петиция правых не нашла необходимой поддержки и не была рассмотрена.</w:t>
      </w:r>
    </w:p>
    <w:p w14:paraId="17FFDB4C" w14:textId="77777777" w:rsidR="00A7578E" w:rsidRPr="00D40509" w:rsidRDefault="00D40509" w:rsidP="00A7578E">
      <w:r>
        <w:t>«</w:t>
      </w:r>
      <w:r w:rsidR="00A7578E" w:rsidRPr="00D40509">
        <w:t>Непокорившаяся Франция</w:t>
      </w:r>
      <w:r>
        <w:t>»</w:t>
      </w:r>
      <w:r w:rsidR="00A7578E" w:rsidRPr="00D40509">
        <w:t xml:space="preserve"> сообщила, что намерена добиться отмены пенсионной реформы, поскольку закон был проведен в обход голосования в парламенте, а также против воли французов, большинство из которых выступали против таких изменений.</w:t>
      </w:r>
    </w:p>
    <w:p w14:paraId="4D8CB61F" w14:textId="77777777" w:rsidR="00525263" w:rsidRPr="00D40509" w:rsidRDefault="00A7578E" w:rsidP="00A7578E">
      <w:r w:rsidRPr="00D40509">
        <w:t>Масштабные протесты против пенсионной реформы проходили во Франции с января по июнь 2023 года. Массовые акции насчитывали более миллиона участников по всей стране, однако с сентября прошлого года закон, постепенно поднимающий пенсионный возраст с 62 до 64 лет, вступил в силу.</w:t>
      </w:r>
    </w:p>
    <w:p w14:paraId="49DC3050" w14:textId="77777777" w:rsidR="00C11B05" w:rsidRPr="0090779C" w:rsidRDefault="00C11B05" w:rsidP="00C11B05"/>
    <w:sectPr w:rsidR="00C11B05" w:rsidRPr="0090779C" w:rsidSect="00B01BEA">
      <w:headerReference w:type="default" r:id="rId40"/>
      <w:footerReference w:type="defaul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BD584" w14:textId="77777777" w:rsidR="000B1581" w:rsidRDefault="000B1581">
      <w:r>
        <w:separator/>
      </w:r>
    </w:p>
  </w:endnote>
  <w:endnote w:type="continuationSeparator" w:id="0">
    <w:p w14:paraId="78F6A68C" w14:textId="77777777" w:rsidR="000B1581" w:rsidRDefault="000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32DD5" w14:textId="77777777" w:rsidR="00501A6D" w:rsidRPr="00D64E5C" w:rsidRDefault="00501A6D"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D40509" w:rsidRPr="00D40509">
      <w:rPr>
        <w:rFonts w:ascii="Cambria" w:hAnsi="Cambria"/>
        <w:b/>
        <w:noProof/>
      </w:rPr>
      <w:t>5</w:t>
    </w:r>
    <w:r w:rsidRPr="00CB47BF">
      <w:rPr>
        <w:b/>
      </w:rPr>
      <w:fldChar w:fldCharType="end"/>
    </w:r>
  </w:p>
  <w:p w14:paraId="42721B25" w14:textId="77777777" w:rsidR="00501A6D" w:rsidRPr="00D15988" w:rsidRDefault="00501A6D"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E5FCA" w14:textId="77777777" w:rsidR="000B1581" w:rsidRDefault="000B1581">
      <w:r>
        <w:separator/>
      </w:r>
    </w:p>
  </w:footnote>
  <w:footnote w:type="continuationSeparator" w:id="0">
    <w:p w14:paraId="69578510" w14:textId="77777777" w:rsidR="000B1581" w:rsidRDefault="000B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8EC53" w14:textId="77777777" w:rsidR="00501A6D" w:rsidRDefault="00000000" w:rsidP="00122493">
    <w:pPr>
      <w:tabs>
        <w:tab w:val="left" w:pos="555"/>
        <w:tab w:val="right" w:pos="9071"/>
      </w:tabs>
      <w:jc w:val="center"/>
    </w:pPr>
    <w:r>
      <w:rPr>
        <w:noProof/>
      </w:rPr>
      <w:pict w14:anchorId="4AF2BA61">
        <v:roundrect id="_x0000_s1034" style="position:absolute;left:0;text-align:left;margin-left:127.5pt;margin-top:-13.7pt;width:188.6pt;height:31.25pt;z-index:1" arcsize="10923f" stroked="f">
          <v:textbox style="mso-next-textbox:#_x0000_s1034">
            <w:txbxContent>
              <w:p w14:paraId="58E257AF" w14:textId="77777777" w:rsidR="00501A6D" w:rsidRPr="000C041B" w:rsidRDefault="00501A6D" w:rsidP="00122493">
                <w:pPr>
                  <w:ind w:right="423"/>
                  <w:jc w:val="center"/>
                  <w:rPr>
                    <w:rFonts w:cs="Arial"/>
                    <w:b/>
                    <w:color w:val="EEECE1"/>
                    <w:sz w:val="6"/>
                    <w:szCs w:val="6"/>
                  </w:rPr>
                </w:pPr>
                <w:r w:rsidRPr="000C041B">
                  <w:rPr>
                    <w:rFonts w:cs="Arial"/>
                    <w:b/>
                    <w:color w:val="EEECE1"/>
                    <w:sz w:val="6"/>
                    <w:szCs w:val="6"/>
                  </w:rPr>
                  <w:t xml:space="preserve">        </w:t>
                </w:r>
              </w:p>
              <w:p w14:paraId="7E4AB561" w14:textId="77777777" w:rsidR="00501A6D" w:rsidRPr="00D15988" w:rsidRDefault="00501A6D"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31D3E28" w14:textId="77777777" w:rsidR="00501A6D" w:rsidRPr="007336C7" w:rsidRDefault="00501A6D" w:rsidP="00122493">
                <w:pPr>
                  <w:ind w:right="423"/>
                  <w:rPr>
                    <w:rFonts w:cs="Arial"/>
                  </w:rPr>
                </w:pPr>
              </w:p>
              <w:p w14:paraId="63E63801" w14:textId="77777777" w:rsidR="00501A6D" w:rsidRPr="00267F53" w:rsidRDefault="00501A6D" w:rsidP="00122493"/>
            </w:txbxContent>
          </v:textbox>
        </v:roundrect>
      </w:pict>
    </w:r>
    <w:r w:rsidR="00501A6D">
      <w:t xml:space="preserve">             </w:t>
    </w:r>
  </w:p>
  <w:p w14:paraId="70FF0C95" w14:textId="77777777" w:rsidR="00501A6D" w:rsidRDefault="00501A6D"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F334F0">
      <w:rPr>
        <w:noProof/>
      </w:rPr>
      <w:pict w14:anchorId="5CE50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831418">
    <w:abstractNumId w:val="25"/>
  </w:num>
  <w:num w:numId="2" w16cid:durableId="1695577123">
    <w:abstractNumId w:val="12"/>
  </w:num>
  <w:num w:numId="3" w16cid:durableId="1992172578">
    <w:abstractNumId w:val="27"/>
  </w:num>
  <w:num w:numId="4" w16cid:durableId="822281651">
    <w:abstractNumId w:val="17"/>
  </w:num>
  <w:num w:numId="5" w16cid:durableId="1884825549">
    <w:abstractNumId w:val="18"/>
  </w:num>
  <w:num w:numId="6" w16cid:durableId="54522206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0102256">
    <w:abstractNumId w:val="24"/>
  </w:num>
  <w:num w:numId="8" w16cid:durableId="2132244600">
    <w:abstractNumId w:val="21"/>
  </w:num>
  <w:num w:numId="9" w16cid:durableId="15990185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5983308">
    <w:abstractNumId w:val="16"/>
  </w:num>
  <w:num w:numId="11" w16cid:durableId="1748191703">
    <w:abstractNumId w:val="15"/>
  </w:num>
  <w:num w:numId="12" w16cid:durableId="237787449">
    <w:abstractNumId w:val="10"/>
  </w:num>
  <w:num w:numId="13" w16cid:durableId="380135486">
    <w:abstractNumId w:val="9"/>
  </w:num>
  <w:num w:numId="14" w16cid:durableId="292637987">
    <w:abstractNumId w:val="7"/>
  </w:num>
  <w:num w:numId="15" w16cid:durableId="945848316">
    <w:abstractNumId w:val="6"/>
  </w:num>
  <w:num w:numId="16" w16cid:durableId="160315480">
    <w:abstractNumId w:val="5"/>
  </w:num>
  <w:num w:numId="17" w16cid:durableId="1430855376">
    <w:abstractNumId w:val="4"/>
  </w:num>
  <w:num w:numId="18" w16cid:durableId="1116949075">
    <w:abstractNumId w:val="8"/>
  </w:num>
  <w:num w:numId="19" w16cid:durableId="271399710">
    <w:abstractNumId w:val="3"/>
  </w:num>
  <w:num w:numId="20" w16cid:durableId="1612668490">
    <w:abstractNumId w:val="2"/>
  </w:num>
  <w:num w:numId="21" w16cid:durableId="344135824">
    <w:abstractNumId w:val="1"/>
  </w:num>
  <w:num w:numId="22" w16cid:durableId="2031687269">
    <w:abstractNumId w:val="0"/>
  </w:num>
  <w:num w:numId="23" w16cid:durableId="2130968794">
    <w:abstractNumId w:val="19"/>
  </w:num>
  <w:num w:numId="24" w16cid:durableId="983972542">
    <w:abstractNumId w:val="26"/>
  </w:num>
  <w:num w:numId="25" w16cid:durableId="835876895">
    <w:abstractNumId w:val="20"/>
  </w:num>
  <w:num w:numId="26" w16cid:durableId="2035764704">
    <w:abstractNumId w:val="13"/>
  </w:num>
  <w:num w:numId="27" w16cid:durableId="451443724">
    <w:abstractNumId w:val="11"/>
  </w:num>
  <w:num w:numId="28" w16cid:durableId="1142766947">
    <w:abstractNumId w:val="22"/>
  </w:num>
  <w:num w:numId="29" w16cid:durableId="2028216534">
    <w:abstractNumId w:val="23"/>
  </w:num>
  <w:num w:numId="30" w16cid:durableId="11457835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30"/>
    <w:rsid w:val="000045B5"/>
    <w:rsid w:val="000045C7"/>
    <w:rsid w:val="000046BE"/>
    <w:rsid w:val="00004CBC"/>
    <w:rsid w:val="000060F4"/>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6F7C"/>
    <w:rsid w:val="000A7421"/>
    <w:rsid w:val="000B023D"/>
    <w:rsid w:val="000B0494"/>
    <w:rsid w:val="000B0936"/>
    <w:rsid w:val="000B0D90"/>
    <w:rsid w:val="000B1180"/>
    <w:rsid w:val="000B1581"/>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E"/>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4E9"/>
    <w:rsid w:val="0013552B"/>
    <w:rsid w:val="00136509"/>
    <w:rsid w:val="00141032"/>
    <w:rsid w:val="0014103F"/>
    <w:rsid w:val="0014179E"/>
    <w:rsid w:val="001423EB"/>
    <w:rsid w:val="00142406"/>
    <w:rsid w:val="00142D62"/>
    <w:rsid w:val="00142DC8"/>
    <w:rsid w:val="00143368"/>
    <w:rsid w:val="00143666"/>
    <w:rsid w:val="00143839"/>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397E"/>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4B3A"/>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98A"/>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ACA"/>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226C"/>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44F"/>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4514"/>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48"/>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579"/>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05A0"/>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306"/>
    <w:rsid w:val="0050191C"/>
    <w:rsid w:val="00501A6D"/>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263"/>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1C9"/>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4E47"/>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0AFF"/>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0E9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543"/>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1B17"/>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7F9"/>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289"/>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60E"/>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2C"/>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7F8"/>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0DF6"/>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43E"/>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78E"/>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075B"/>
    <w:rsid w:val="00A910E2"/>
    <w:rsid w:val="00A912CC"/>
    <w:rsid w:val="00A92A3D"/>
    <w:rsid w:val="00A92F03"/>
    <w:rsid w:val="00A93019"/>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D9"/>
    <w:rsid w:val="00AB19E1"/>
    <w:rsid w:val="00AB276D"/>
    <w:rsid w:val="00AB2DAE"/>
    <w:rsid w:val="00AB2F27"/>
    <w:rsid w:val="00AB3B14"/>
    <w:rsid w:val="00AB3C75"/>
    <w:rsid w:val="00AB437D"/>
    <w:rsid w:val="00AB50BA"/>
    <w:rsid w:val="00AB6127"/>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1E2"/>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2804"/>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B05"/>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09BA"/>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048"/>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39E"/>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2C39"/>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0D92"/>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0A5"/>
    <w:rsid w:val="00D36D5B"/>
    <w:rsid w:val="00D370C6"/>
    <w:rsid w:val="00D379E5"/>
    <w:rsid w:val="00D403C8"/>
    <w:rsid w:val="00D40509"/>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346"/>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B13"/>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7F3"/>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5AC3"/>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4F0"/>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64CE"/>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0110D656"/>
  <w15:docId w15:val="{CB287610-DEC8-46CC-B07C-2F3F6621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36891632">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56791579">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1925726109">
      <w:bodyDiv w:val="1"/>
      <w:marLeft w:val="0"/>
      <w:marRight w:val="0"/>
      <w:marTop w:val="0"/>
      <w:marBottom w:val="0"/>
      <w:divBdr>
        <w:top w:val="none" w:sz="0" w:space="0" w:color="auto"/>
        <w:left w:val="none" w:sz="0" w:space="0" w:color="auto"/>
        <w:bottom w:val="none" w:sz="0" w:space="0" w:color="auto"/>
        <w:right w:val="none" w:sz="0" w:space="0" w:color="auto"/>
      </w:divBdr>
    </w:div>
    <w:div w:id="21108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a.ru/20241120/pensii-1984792426.html" TargetMode="External"/><Relationship Id="rId13" Type="http://schemas.openxmlformats.org/officeDocument/2006/relationships/hyperlink" Target="https://pensiya.pro/lenivyj-zarabotok-vo-chto-nado-investirovat-dlya-passivnogo-dohoda-na-pensii/" TargetMode="External"/><Relationship Id="rId18" Type="http://schemas.openxmlformats.org/officeDocument/2006/relationships/hyperlink" Target="https://sia.ru/?section=484&amp;action=show_news&amp;id=16809522" TargetMode="External"/><Relationship Id="rId26" Type="http://schemas.openxmlformats.org/officeDocument/2006/relationships/hyperlink" Target="https://news.ru/economics/v-gosdume-nazvali-uslovie-dlya-peresmotra-indeksacii-pensij-v-2025-godu/" TargetMode="External"/><Relationship Id="rId39" Type="http://schemas.openxmlformats.org/officeDocument/2006/relationships/hyperlink" Target="https://stimul.online/articles/sreda/rasti-startap-na-pensiyu/" TargetMode="External"/><Relationship Id="rId3" Type="http://schemas.openxmlformats.org/officeDocument/2006/relationships/settings" Target="settings.xml"/><Relationship Id="rId21" Type="http://schemas.openxmlformats.org/officeDocument/2006/relationships/hyperlink" Target="https://rg.ru/2024/11/19/reg-cfo/minimalnaia-pensiia-v-moskve-vyrastet-s-1-ianvaria.html" TargetMode="External"/><Relationship Id="rId34" Type="http://schemas.openxmlformats.org/officeDocument/2006/relationships/hyperlink" Target="http://pbroker.ru/?p=79049"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ensiya.pro/news/npf-opf-dobilsya-rosta-vznosov-i-investiczionnogo-dohoda/" TargetMode="External"/><Relationship Id="rId17" Type="http://schemas.openxmlformats.org/officeDocument/2006/relationships/hyperlink" Target="https://www.banki.ru/news/lenta/?id=11008688" TargetMode="External"/><Relationship Id="rId25" Type="http://schemas.openxmlformats.org/officeDocument/2006/relationships/hyperlink" Target="https://lenta.ru/news/2024/11/20/povyshenii-pensiy-v-2025-godu/" TargetMode="External"/><Relationship Id="rId33" Type="http://schemas.openxmlformats.org/officeDocument/2006/relationships/hyperlink" Target="https://www.kommersant.ru/doc/7312386" TargetMode="External"/><Relationship Id="rId38" Type="http://schemas.openxmlformats.org/officeDocument/2006/relationships/hyperlink" Target="https://24.kz/ru/news/economyc/item/681474-pochti-60-mlrd-pensionnykh-aktivov-nakhodyatsya-pod-upravleniem-chastnykh-kompanij" TargetMode="External"/><Relationship Id="rId2" Type="http://schemas.openxmlformats.org/officeDocument/2006/relationships/styles" Target="styles.xml"/><Relationship Id="rId16" Type="http://schemas.openxmlformats.org/officeDocument/2006/relationships/hyperlink" Target="https://lenta.ru/news/2024/11/20/pensii/" TargetMode="External"/><Relationship Id="rId20" Type="http://schemas.openxmlformats.org/officeDocument/2006/relationships/hyperlink" Target="https://rg.ru/2024/11/19/iurist-rusiaev-starenie-naseleniia-dolzhno-stat-resursom-dlia-obshchestva-i-ekonomiki.html" TargetMode="External"/><Relationship Id="rId29" Type="http://schemas.openxmlformats.org/officeDocument/2006/relationships/hyperlink" Target="https://konkurent.ru/article/72775"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radio1.ru/news/obschestvo/zasluzhili-horoshuyu-zhizn-deputat-nikitin-rasskazal-pro-spravedlivuyu-pensiyu-dlya-zhitelei-rf/" TargetMode="External"/><Relationship Id="rId32" Type="http://schemas.openxmlformats.org/officeDocument/2006/relationships/hyperlink" Target="https://rg.ru/2024/11/20/docent-mgu-subbotin-rossiia-podstupaet-k-serebrianoj-ekonomike.html" TargetMode="External"/><Relationship Id="rId37" Type="http://schemas.openxmlformats.org/officeDocument/2006/relationships/hyperlink" Target="https://kazlenta.kz/90549-v-kazahstane-anonsirovali-rost-sredney-pensii-v-2025-godu-chto-nuzhno-znat-kazhdomu-pensioneru.html"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ass.ru/ekonomika/22451537" TargetMode="External"/><Relationship Id="rId23" Type="http://schemas.openxmlformats.org/officeDocument/2006/relationships/hyperlink" Target="https://www.rbc.ru/quote/news/article/66547fba9a7947e7a0f42d6a" TargetMode="External"/><Relationship Id="rId28" Type="http://schemas.openxmlformats.org/officeDocument/2006/relationships/hyperlink" Target="https://konkurent.ru/article/72793" TargetMode="External"/><Relationship Id="rId36" Type="http://schemas.openxmlformats.org/officeDocument/2006/relationships/hyperlink" Target="https://trends.rbc.ru/trends/innovation/cmrm/673c72579a79470eeb7e8245" TargetMode="External"/><Relationship Id="rId10" Type="http://schemas.openxmlformats.org/officeDocument/2006/relationships/hyperlink" Target="https://www.finam.ru/publications/item/swot-analiz-rynka-npf-v-rossii-20241120-1115/" TargetMode="External"/><Relationship Id="rId19" Type="http://schemas.openxmlformats.org/officeDocument/2006/relationships/hyperlink" Target="https://samara.aif.ru/politic/person/v-samare-rastet-chislo-uchastnikov-programmy-dolgosrochnyh-sberezheniy" TargetMode="External"/><Relationship Id="rId31" Type="http://schemas.openxmlformats.org/officeDocument/2006/relationships/hyperlink" Target="https://pensiya.pro/news/rossiyanam-pridetsya-kopit-eshhe-bolshe-ballov-dlya-vyhoda-na-pensiy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z.ru/1793970/2024-11-20/ekspert-sprognoziroval-rost-uchastnikov-programmy-dolgosrochnykh-sberezhenii-v-rf" TargetMode="External"/><Relationship Id="rId22" Type="http://schemas.openxmlformats.org/officeDocument/2006/relationships/hyperlink" Target="https://tass.ru/ekonomika/22449729" TargetMode="External"/><Relationship Id="rId27" Type="http://schemas.openxmlformats.org/officeDocument/2006/relationships/hyperlink" Target="https://aif.ru/money/mymoney/est-usloviya-ekspert-rasskazala-kogda-pensii-sostavyat-40-ot-zarplaty" TargetMode="External"/><Relationship Id="rId30" Type="http://schemas.openxmlformats.org/officeDocument/2006/relationships/hyperlink" Target="https://deita.ru/article/561543" TargetMode="External"/><Relationship Id="rId35" Type="http://schemas.openxmlformats.org/officeDocument/2006/relationships/hyperlink" Target="https://www.kommersant.ru/doc/7312873"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63</Pages>
  <Words>23990</Words>
  <Characters>136747</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160417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26</cp:revision>
  <cp:lastPrinted>2009-04-02T10:14:00Z</cp:lastPrinted>
  <dcterms:created xsi:type="dcterms:W3CDTF">2024-11-13T11:03:00Z</dcterms:created>
  <dcterms:modified xsi:type="dcterms:W3CDTF">2024-11-21T04:41:00Z</dcterms:modified>
  <cp:category>И-Консалтинг</cp:category>
  <cp:contentStatus>И-Консалтинг</cp:contentStatus>
</cp:coreProperties>
</file>