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106" w:rsidRDefault="00633106" w:rsidP="00154974">
      <w:pPr>
        <w:pStyle w:val="a3"/>
        <w:rPr>
          <w:rFonts w:eastAsia="Calibri" w:cs="Times New Roman"/>
          <w:sz w:val="20"/>
          <w:szCs w:val="20"/>
          <w:lang w:val="en-US"/>
        </w:rPr>
      </w:pPr>
    </w:p>
    <w:p w:rsidR="00F96900" w:rsidRDefault="00F96900" w:rsidP="00F96900">
      <w:pPr>
        <w:pStyle w:val="a3"/>
        <w:jc w:val="right"/>
        <w:rPr>
          <w:rFonts w:cs="Times New Roman"/>
          <w:sz w:val="20"/>
          <w:szCs w:val="20"/>
        </w:rPr>
      </w:pPr>
      <w:r w:rsidRPr="00154974">
        <w:rPr>
          <w:rFonts w:cs="Times New Roman"/>
          <w:sz w:val="20"/>
          <w:szCs w:val="20"/>
        </w:rPr>
        <w:t xml:space="preserve">Приложение № </w:t>
      </w:r>
      <w:r w:rsidRPr="00E07623">
        <w:rPr>
          <w:rFonts w:cs="Times New Roman"/>
          <w:sz w:val="20"/>
          <w:szCs w:val="20"/>
        </w:rPr>
        <w:t>24</w:t>
      </w:r>
    </w:p>
    <w:p w:rsidR="00E07623" w:rsidRPr="00E07623" w:rsidRDefault="00E07623" w:rsidP="00F96900">
      <w:pPr>
        <w:pStyle w:val="a3"/>
        <w:jc w:val="right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к Учетной политике</w:t>
      </w:r>
    </w:p>
    <w:p w:rsidR="00F96900" w:rsidRPr="00E07623" w:rsidRDefault="00F96900" w:rsidP="00154974">
      <w:pPr>
        <w:pStyle w:val="a3"/>
        <w:rPr>
          <w:rFonts w:eastAsia="Calibri" w:cs="Times New Roman"/>
          <w:sz w:val="20"/>
          <w:szCs w:val="20"/>
        </w:rPr>
      </w:pPr>
    </w:p>
    <w:p w:rsidR="00633106" w:rsidRPr="00154974" w:rsidRDefault="00633106" w:rsidP="00154974">
      <w:pPr>
        <w:pStyle w:val="a3"/>
        <w:rPr>
          <w:rFonts w:eastAsia="Calibri" w:cs="Times New Roman"/>
          <w:sz w:val="20"/>
          <w:szCs w:val="20"/>
        </w:rPr>
      </w:pPr>
      <w:r w:rsidRPr="00154974">
        <w:rPr>
          <w:rFonts w:eastAsia="Calibri" w:cs="Times New Roman"/>
          <w:sz w:val="20"/>
          <w:szCs w:val="20"/>
        </w:rPr>
        <w:t>Учет расчетов с бюджетом по НДФЛ с доходов работников</w:t>
      </w:r>
      <w:bookmarkStart w:id="0" w:name="_GoBack"/>
      <w:bookmarkEnd w:id="0"/>
    </w:p>
    <w:tbl>
      <w:tblPr>
        <w:tblW w:w="0" w:type="auto"/>
        <w:tblInd w:w="-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61"/>
        <w:gridCol w:w="4961"/>
        <w:gridCol w:w="3402"/>
        <w:gridCol w:w="2694"/>
      </w:tblGrid>
      <w:tr w:rsidR="00633106" w:rsidRPr="00154974" w:rsidTr="00B85D69">
        <w:trPr>
          <w:trHeight w:val="109"/>
        </w:trPr>
        <w:tc>
          <w:tcPr>
            <w:tcW w:w="3661" w:type="dxa"/>
            <w:vMerge w:val="restart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Содержание операции</w:t>
            </w:r>
          </w:p>
        </w:tc>
        <w:tc>
          <w:tcPr>
            <w:tcW w:w="8363" w:type="dxa"/>
            <w:gridSpan w:val="2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Корреспонденция счетов</w:t>
            </w:r>
          </w:p>
        </w:tc>
        <w:tc>
          <w:tcPr>
            <w:tcW w:w="2694" w:type="dxa"/>
            <w:vMerge w:val="restart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Наименование первичного документа</w:t>
            </w:r>
          </w:p>
        </w:tc>
      </w:tr>
      <w:tr w:rsidR="00633106" w:rsidRPr="00154974" w:rsidTr="00B85D69">
        <w:trPr>
          <w:trHeight w:val="131"/>
        </w:trPr>
        <w:tc>
          <w:tcPr>
            <w:tcW w:w="3661" w:type="dxa"/>
            <w:vMerge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Дебет</w:t>
            </w:r>
          </w:p>
        </w:tc>
        <w:tc>
          <w:tcPr>
            <w:tcW w:w="3402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Кредит</w:t>
            </w:r>
          </w:p>
        </w:tc>
        <w:tc>
          <w:tcPr>
            <w:tcW w:w="2694" w:type="dxa"/>
            <w:vMerge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633106" w:rsidRPr="00154974" w:rsidTr="00B85D69">
        <w:trPr>
          <w:trHeight w:val="131"/>
        </w:trPr>
        <w:tc>
          <w:tcPr>
            <w:tcW w:w="3661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Удержание НДФЛ из заработной платы</w:t>
            </w:r>
          </w:p>
        </w:tc>
        <w:tc>
          <w:tcPr>
            <w:tcW w:w="4961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60305 (П) «Обязательства по выплате краткосрочных вознаграждений работникам»</w:t>
            </w:r>
          </w:p>
        </w:tc>
        <w:tc>
          <w:tcPr>
            <w:tcW w:w="3402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60301 (П) «Расчеты по налогам и сборам, кроме налога на прибыль», лицевой счет, открытый для расчетов с бюджетом по НДФЛ</w:t>
            </w:r>
          </w:p>
        </w:tc>
        <w:tc>
          <w:tcPr>
            <w:tcW w:w="2694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633106" w:rsidRPr="00154974" w:rsidTr="00B85D69">
        <w:trPr>
          <w:trHeight w:val="131"/>
        </w:trPr>
        <w:tc>
          <w:tcPr>
            <w:tcW w:w="3661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 xml:space="preserve">Перечисление (уплата) в бюджет суммы </w:t>
            </w:r>
            <w:proofErr w:type="gramStart"/>
            <w:r w:rsidRPr="00154974">
              <w:rPr>
                <w:rFonts w:eastAsia="Calibri" w:cs="Times New Roman"/>
                <w:sz w:val="20"/>
                <w:szCs w:val="20"/>
              </w:rPr>
              <w:t>удержанного</w:t>
            </w:r>
            <w:proofErr w:type="gramEnd"/>
            <w:r w:rsidRPr="00154974">
              <w:rPr>
                <w:rFonts w:eastAsia="Calibri" w:cs="Times New Roman"/>
                <w:sz w:val="20"/>
                <w:szCs w:val="20"/>
              </w:rPr>
              <w:t xml:space="preserve"> НДФЛ</w:t>
            </w:r>
          </w:p>
        </w:tc>
        <w:tc>
          <w:tcPr>
            <w:tcW w:w="4961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60301 (П) «Расчеты по налогам и сборам, кроме налога на прибыль», лицевой счет, открытый для расчетов с бюджетом по НДФЛ</w:t>
            </w:r>
          </w:p>
        </w:tc>
        <w:tc>
          <w:tcPr>
            <w:tcW w:w="3402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20501 (А) «Расчетные счета в кредитных организациях»</w:t>
            </w:r>
          </w:p>
        </w:tc>
        <w:tc>
          <w:tcPr>
            <w:tcW w:w="2694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633106" w:rsidRPr="00154974" w:rsidTr="00B85D69">
        <w:trPr>
          <w:trHeight w:val="131"/>
        </w:trPr>
        <w:tc>
          <w:tcPr>
            <w:tcW w:w="3661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возврат работнику излишне удержанной суммы НДФЛ до получения решения налогового органа о зачете (возврате) налога</w:t>
            </w:r>
          </w:p>
        </w:tc>
        <w:tc>
          <w:tcPr>
            <w:tcW w:w="4961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60323 (А) «Расчеты с прочими дебиторами», лицевой счет, открытый для расчетов с работником</w:t>
            </w:r>
          </w:p>
        </w:tc>
        <w:tc>
          <w:tcPr>
            <w:tcW w:w="3402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60305 (П) «Обязательства по выплате краткосрочных вознаграждений работникам»</w:t>
            </w:r>
          </w:p>
        </w:tc>
        <w:tc>
          <w:tcPr>
            <w:tcW w:w="2694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633106" w:rsidRPr="00154974" w:rsidTr="00B85D69">
        <w:trPr>
          <w:trHeight w:val="131"/>
        </w:trPr>
        <w:tc>
          <w:tcPr>
            <w:tcW w:w="3661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Урегулирование счетов по учету излишне удержанной суммы НДФЛ при решении налогового органа о зачете (возврате) налога</w:t>
            </w:r>
          </w:p>
        </w:tc>
        <w:tc>
          <w:tcPr>
            <w:tcW w:w="4961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60302 (А) «Расчеты по налогам и сборам, кроме налога на прибыль», лицевой счет, открытый для расчетов с бюджетом по НДФЛ</w:t>
            </w:r>
          </w:p>
        </w:tc>
        <w:tc>
          <w:tcPr>
            <w:tcW w:w="3402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60323 (А) «Расчеты с прочими дебиторами», лицевой счет, открытый для расчетов с работником</w:t>
            </w:r>
          </w:p>
        </w:tc>
        <w:tc>
          <w:tcPr>
            <w:tcW w:w="2694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решение налогового органа</w:t>
            </w:r>
          </w:p>
        </w:tc>
      </w:tr>
      <w:tr w:rsidR="00633106" w:rsidRPr="00154974" w:rsidTr="00B85D69">
        <w:trPr>
          <w:trHeight w:val="131"/>
        </w:trPr>
        <w:tc>
          <w:tcPr>
            <w:tcW w:w="3661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Возврат работнику излишне удержанной суммы НДФЛ после получения решения налогового органа о зачете (возврате) налога</w:t>
            </w:r>
          </w:p>
        </w:tc>
        <w:tc>
          <w:tcPr>
            <w:tcW w:w="4961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60302 (А) «Расчеты по налогам и сборам, кроме налога на прибыль», лицевой счет, открытый для расчетов с бюджетом по НДФЛ</w:t>
            </w:r>
          </w:p>
        </w:tc>
        <w:tc>
          <w:tcPr>
            <w:tcW w:w="3402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60305 (П) «Обязательства по выплате краткосрочных вознаграждений работникам»</w:t>
            </w:r>
          </w:p>
        </w:tc>
        <w:tc>
          <w:tcPr>
            <w:tcW w:w="2694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633106" w:rsidRPr="00154974" w:rsidTr="00B85D69">
        <w:trPr>
          <w:trHeight w:val="131"/>
        </w:trPr>
        <w:tc>
          <w:tcPr>
            <w:tcW w:w="3661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Зачет излишне удержанной суммы НДФЛ в счет уплаты текущих платежей</w:t>
            </w:r>
          </w:p>
        </w:tc>
        <w:tc>
          <w:tcPr>
            <w:tcW w:w="4961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60301 (П) «Расчеты по налогам и сборам, кроме налога на прибыль», лицевой счет, открытый для расчетов с бюджетом по НДФЛ</w:t>
            </w:r>
          </w:p>
        </w:tc>
        <w:tc>
          <w:tcPr>
            <w:tcW w:w="3402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60302 (А) «Расчеты по налогам и сборам, кроме налога на прибыль», лицевой счет, открытый для расчетов с бюджетом по НДФЛ</w:t>
            </w:r>
          </w:p>
        </w:tc>
        <w:tc>
          <w:tcPr>
            <w:tcW w:w="2694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решение налогового органа</w:t>
            </w:r>
          </w:p>
        </w:tc>
      </w:tr>
      <w:tr w:rsidR="00633106" w:rsidRPr="00154974" w:rsidTr="00B85D69">
        <w:trPr>
          <w:trHeight w:val="131"/>
        </w:trPr>
        <w:tc>
          <w:tcPr>
            <w:tcW w:w="3661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Поступление из бюджета суммы излишне удержанного НДФЛ</w:t>
            </w:r>
          </w:p>
        </w:tc>
        <w:tc>
          <w:tcPr>
            <w:tcW w:w="4961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20501 (А) «Расчетные счета в кредитных организациях»</w:t>
            </w:r>
          </w:p>
        </w:tc>
        <w:tc>
          <w:tcPr>
            <w:tcW w:w="3402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60302 (А) «Расчеты по налогам и сборам, кроме налога на прибыль», лицевой счет, открытый для расчетов с бюджетом по НДФЛ</w:t>
            </w:r>
          </w:p>
        </w:tc>
        <w:tc>
          <w:tcPr>
            <w:tcW w:w="2694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</w:tbl>
    <w:p w:rsidR="00633106" w:rsidRPr="00154974" w:rsidRDefault="00633106" w:rsidP="00154974">
      <w:pPr>
        <w:pStyle w:val="a3"/>
        <w:rPr>
          <w:rFonts w:eastAsia="Calibri" w:cs="Times New Roman"/>
          <w:sz w:val="20"/>
          <w:szCs w:val="20"/>
        </w:rPr>
      </w:pPr>
    </w:p>
    <w:p w:rsidR="00633106" w:rsidRPr="00154974" w:rsidRDefault="00633106" w:rsidP="00154974">
      <w:pPr>
        <w:pStyle w:val="a3"/>
        <w:rPr>
          <w:rFonts w:eastAsia="Calibri" w:cs="Times New Roman"/>
          <w:sz w:val="20"/>
          <w:szCs w:val="20"/>
        </w:rPr>
      </w:pPr>
      <w:r w:rsidRPr="00154974">
        <w:rPr>
          <w:rFonts w:eastAsia="Calibri" w:cs="Times New Roman"/>
          <w:sz w:val="20"/>
          <w:szCs w:val="20"/>
        </w:rPr>
        <w:t>Учет расчетов с бюджетом по НДФЛ по хозяйственным и прочим операциям</w:t>
      </w:r>
    </w:p>
    <w:tbl>
      <w:tblPr>
        <w:tblW w:w="0" w:type="auto"/>
        <w:tblInd w:w="-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61"/>
        <w:gridCol w:w="4961"/>
        <w:gridCol w:w="3402"/>
        <w:gridCol w:w="2694"/>
      </w:tblGrid>
      <w:tr w:rsidR="00633106" w:rsidRPr="00154974" w:rsidTr="00B85D69">
        <w:trPr>
          <w:trHeight w:val="109"/>
        </w:trPr>
        <w:tc>
          <w:tcPr>
            <w:tcW w:w="3661" w:type="dxa"/>
            <w:vMerge w:val="restart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Содержание операции</w:t>
            </w:r>
          </w:p>
        </w:tc>
        <w:tc>
          <w:tcPr>
            <w:tcW w:w="8363" w:type="dxa"/>
            <w:gridSpan w:val="2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Корреспонденция счетов</w:t>
            </w:r>
          </w:p>
        </w:tc>
        <w:tc>
          <w:tcPr>
            <w:tcW w:w="2694" w:type="dxa"/>
            <w:vMerge w:val="restart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Наименование первичного документа</w:t>
            </w:r>
          </w:p>
        </w:tc>
      </w:tr>
      <w:tr w:rsidR="00633106" w:rsidRPr="00154974" w:rsidTr="00B85D69">
        <w:trPr>
          <w:trHeight w:val="131"/>
        </w:trPr>
        <w:tc>
          <w:tcPr>
            <w:tcW w:w="3661" w:type="dxa"/>
            <w:vMerge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Дебет</w:t>
            </w:r>
          </w:p>
        </w:tc>
        <w:tc>
          <w:tcPr>
            <w:tcW w:w="3402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Кредит</w:t>
            </w:r>
          </w:p>
        </w:tc>
        <w:tc>
          <w:tcPr>
            <w:tcW w:w="2694" w:type="dxa"/>
            <w:vMerge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633106" w:rsidRPr="00154974" w:rsidTr="00B85D69">
        <w:trPr>
          <w:trHeight w:val="131"/>
        </w:trPr>
        <w:tc>
          <w:tcPr>
            <w:tcW w:w="3661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 xml:space="preserve">НДФЛ </w:t>
            </w:r>
            <w:proofErr w:type="gramStart"/>
            <w:r w:rsidRPr="00154974">
              <w:rPr>
                <w:rFonts w:eastAsia="Calibri" w:cs="Times New Roman"/>
                <w:sz w:val="20"/>
                <w:szCs w:val="20"/>
              </w:rPr>
              <w:t>удерживаемый</w:t>
            </w:r>
            <w:proofErr w:type="gramEnd"/>
            <w:r w:rsidRPr="00154974">
              <w:rPr>
                <w:rFonts w:eastAsia="Calibri" w:cs="Times New Roman"/>
                <w:sz w:val="20"/>
                <w:szCs w:val="20"/>
              </w:rPr>
              <w:t xml:space="preserve"> при выплате физическому лицу - арендодателю </w:t>
            </w:r>
            <w:r w:rsidRPr="00154974">
              <w:rPr>
                <w:rFonts w:eastAsia="Calibri" w:cs="Times New Roman"/>
                <w:sz w:val="20"/>
                <w:szCs w:val="20"/>
              </w:rPr>
              <w:lastRenderedPageBreak/>
              <w:t>дохода в виде арендной платы по договору аренды нежилого помещения, автотранспортного средства и прочего имущества</w:t>
            </w:r>
          </w:p>
        </w:tc>
        <w:tc>
          <w:tcPr>
            <w:tcW w:w="4961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lastRenderedPageBreak/>
              <w:t xml:space="preserve">Дт 60312 (А) "Расчеты с поставщиками, подрядчиками и покупателями", лицевой счет, открытый для </w:t>
            </w:r>
            <w:r w:rsidRPr="00154974">
              <w:rPr>
                <w:rFonts w:eastAsia="Calibri" w:cs="Times New Roman"/>
                <w:sz w:val="20"/>
                <w:szCs w:val="20"/>
              </w:rPr>
              <w:lastRenderedPageBreak/>
              <w:t>расчетов с арендодателем</w:t>
            </w:r>
          </w:p>
        </w:tc>
        <w:tc>
          <w:tcPr>
            <w:tcW w:w="3402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lastRenderedPageBreak/>
              <w:t xml:space="preserve">60301 (П) «Расчеты по налогам и сборам, кроме налога на прибыль», </w:t>
            </w:r>
            <w:r w:rsidRPr="00154974">
              <w:rPr>
                <w:rFonts w:eastAsia="Calibri" w:cs="Times New Roman"/>
                <w:sz w:val="20"/>
                <w:szCs w:val="20"/>
              </w:rPr>
              <w:lastRenderedPageBreak/>
              <w:t>лицевой счет, открытый для расчетов с бюджетом по НДФЛ</w:t>
            </w:r>
          </w:p>
        </w:tc>
        <w:tc>
          <w:tcPr>
            <w:tcW w:w="2694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633106" w:rsidRPr="00154974" w:rsidTr="00B85D69">
        <w:trPr>
          <w:trHeight w:val="131"/>
        </w:trPr>
        <w:tc>
          <w:tcPr>
            <w:tcW w:w="3661" w:type="dxa"/>
            <w:shd w:val="clear" w:color="auto" w:fill="auto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lastRenderedPageBreak/>
              <w:t>Удержание НДФЛ при выплате дохода по агентскому соглашению</w:t>
            </w:r>
          </w:p>
        </w:tc>
        <w:tc>
          <w:tcPr>
            <w:tcW w:w="4961" w:type="dxa"/>
            <w:shd w:val="clear" w:color="auto" w:fill="auto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60322 (П) «Расчеты с прочими кредиторами»</w:t>
            </w:r>
          </w:p>
        </w:tc>
        <w:tc>
          <w:tcPr>
            <w:tcW w:w="3402" w:type="dxa"/>
            <w:shd w:val="clear" w:color="auto" w:fill="auto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60301 (П) «Расчеты по налогам и сборам, кроме налога на прибыль», лицевой счет, открытый для расчетов с бюджетом по НДФЛ</w:t>
            </w:r>
          </w:p>
        </w:tc>
        <w:tc>
          <w:tcPr>
            <w:tcW w:w="2694" w:type="dxa"/>
            <w:shd w:val="clear" w:color="auto" w:fill="auto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633106" w:rsidRPr="00154974" w:rsidTr="00B85D69">
        <w:trPr>
          <w:trHeight w:val="131"/>
        </w:trPr>
        <w:tc>
          <w:tcPr>
            <w:tcW w:w="3661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Удержание НДФЛ при выплате дохода в виде денежных подарков и призов</w:t>
            </w:r>
          </w:p>
        </w:tc>
        <w:tc>
          <w:tcPr>
            <w:tcW w:w="4961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71802 (А) «Расходы, связанные с обеспечением деятельности»</w:t>
            </w:r>
          </w:p>
        </w:tc>
        <w:tc>
          <w:tcPr>
            <w:tcW w:w="3402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60301 (П) «Расчеты по налогам и сборам, кроме налога на прибыль», лицевой счет, открытый для расчетов с бюджетом по НДФЛ</w:t>
            </w:r>
          </w:p>
        </w:tc>
        <w:tc>
          <w:tcPr>
            <w:tcW w:w="2694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633106" w:rsidRPr="00154974" w:rsidTr="00B85D69">
        <w:trPr>
          <w:trHeight w:val="131"/>
        </w:trPr>
        <w:tc>
          <w:tcPr>
            <w:tcW w:w="3661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Перечисление (уплата) удержанной суммы НДФЛ в бюджет</w:t>
            </w:r>
          </w:p>
        </w:tc>
        <w:tc>
          <w:tcPr>
            <w:tcW w:w="4961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60301 (П) «Расчеты по налогам и сборам, кроме налога на прибыль», лицевой счет, открытый для расчетов с бюджетом по НДФЛ</w:t>
            </w:r>
          </w:p>
        </w:tc>
        <w:tc>
          <w:tcPr>
            <w:tcW w:w="3402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20501 (А) «Расчетные счета в кредитных организациях»</w:t>
            </w:r>
          </w:p>
        </w:tc>
        <w:tc>
          <w:tcPr>
            <w:tcW w:w="2694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</w:tbl>
    <w:p w:rsidR="00633106" w:rsidRPr="00154974" w:rsidRDefault="00633106" w:rsidP="00154974">
      <w:pPr>
        <w:pStyle w:val="a3"/>
        <w:rPr>
          <w:rFonts w:cs="Times New Roman"/>
          <w:sz w:val="20"/>
          <w:szCs w:val="20"/>
        </w:rPr>
      </w:pPr>
    </w:p>
    <w:sectPr w:rsidR="00633106" w:rsidRPr="00154974" w:rsidSect="00B75BA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BAE"/>
    <w:rsid w:val="000802A7"/>
    <w:rsid w:val="0008141A"/>
    <w:rsid w:val="00094AD3"/>
    <w:rsid w:val="000C4F49"/>
    <w:rsid w:val="00140709"/>
    <w:rsid w:val="00150160"/>
    <w:rsid w:val="00154974"/>
    <w:rsid w:val="00186753"/>
    <w:rsid w:val="00192446"/>
    <w:rsid w:val="0019647C"/>
    <w:rsid w:val="00235284"/>
    <w:rsid w:val="00244C5B"/>
    <w:rsid w:val="002568D3"/>
    <w:rsid w:val="002B7C29"/>
    <w:rsid w:val="002D7633"/>
    <w:rsid w:val="002F3DC0"/>
    <w:rsid w:val="002F5ED4"/>
    <w:rsid w:val="00303DFC"/>
    <w:rsid w:val="00376ED5"/>
    <w:rsid w:val="003A12DB"/>
    <w:rsid w:val="003F42F0"/>
    <w:rsid w:val="004422C3"/>
    <w:rsid w:val="00492F37"/>
    <w:rsid w:val="005103A0"/>
    <w:rsid w:val="005608E9"/>
    <w:rsid w:val="00560DF8"/>
    <w:rsid w:val="005916FC"/>
    <w:rsid w:val="005A0A9E"/>
    <w:rsid w:val="005B6E2D"/>
    <w:rsid w:val="005D534F"/>
    <w:rsid w:val="006007B3"/>
    <w:rsid w:val="00633106"/>
    <w:rsid w:val="006451F4"/>
    <w:rsid w:val="00696EAB"/>
    <w:rsid w:val="006E67F0"/>
    <w:rsid w:val="00727692"/>
    <w:rsid w:val="007276B2"/>
    <w:rsid w:val="007C6C86"/>
    <w:rsid w:val="007D3BC2"/>
    <w:rsid w:val="007D4387"/>
    <w:rsid w:val="00854DDD"/>
    <w:rsid w:val="0086546E"/>
    <w:rsid w:val="00867C8C"/>
    <w:rsid w:val="00875539"/>
    <w:rsid w:val="00931FFF"/>
    <w:rsid w:val="009B67BD"/>
    <w:rsid w:val="009E572E"/>
    <w:rsid w:val="00A061F7"/>
    <w:rsid w:val="00A604A0"/>
    <w:rsid w:val="00AD418D"/>
    <w:rsid w:val="00AE0383"/>
    <w:rsid w:val="00B32FE1"/>
    <w:rsid w:val="00B469B0"/>
    <w:rsid w:val="00B75802"/>
    <w:rsid w:val="00B75BAE"/>
    <w:rsid w:val="00B85D69"/>
    <w:rsid w:val="00B9417D"/>
    <w:rsid w:val="00CA6635"/>
    <w:rsid w:val="00DD48F1"/>
    <w:rsid w:val="00E07623"/>
    <w:rsid w:val="00E6151F"/>
    <w:rsid w:val="00E66076"/>
    <w:rsid w:val="00E66607"/>
    <w:rsid w:val="00ED2934"/>
    <w:rsid w:val="00F774AE"/>
    <w:rsid w:val="00F82244"/>
    <w:rsid w:val="00F96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BAE"/>
    <w:pPr>
      <w:spacing w:after="0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D534F"/>
    <w:pPr>
      <w:keepNext/>
      <w:keepLines/>
      <w:autoSpaceDE w:val="0"/>
      <w:autoSpaceDN w:val="0"/>
      <w:spacing w:before="480"/>
      <w:ind w:firstLine="0"/>
      <w:jc w:val="center"/>
      <w:outlineLvl w:val="0"/>
    </w:pPr>
    <w:rPr>
      <w:rFonts w:eastAsiaTheme="majorEastAsia" w:cstheme="majorBidi"/>
      <w:b/>
      <w:bCs/>
      <w:caps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5D534F"/>
    <w:pPr>
      <w:keepNext/>
      <w:keepLines/>
      <w:spacing w:before="200"/>
      <w:outlineLvl w:val="1"/>
    </w:pPr>
    <w:rPr>
      <w:rFonts w:eastAsiaTheme="majorEastAsia" w:cstheme="majorBidi"/>
      <w:b/>
      <w:bCs/>
      <w:i/>
      <w:szCs w:val="26"/>
      <w:u w:val="single"/>
    </w:rPr>
  </w:style>
  <w:style w:type="paragraph" w:styleId="7">
    <w:name w:val="heading 7"/>
    <w:basedOn w:val="a"/>
    <w:next w:val="a"/>
    <w:link w:val="70"/>
    <w:qFormat/>
    <w:rsid w:val="005D534F"/>
    <w:pPr>
      <w:keepNext/>
      <w:autoSpaceDE w:val="0"/>
      <w:autoSpaceDN w:val="0"/>
      <w:spacing w:before="120"/>
      <w:ind w:firstLine="0"/>
      <w:outlineLvl w:val="6"/>
    </w:pPr>
    <w:rPr>
      <w:b/>
      <w:bCs/>
      <w:i/>
      <w:iCs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D534F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0">
    <w:name w:val="Заголовок 1 Знак"/>
    <w:basedOn w:val="a0"/>
    <w:link w:val="1"/>
    <w:rsid w:val="005D534F"/>
    <w:rPr>
      <w:rFonts w:ascii="Times New Roman" w:eastAsiaTheme="majorEastAsia" w:hAnsi="Times New Roman" w:cstheme="majorBidi"/>
      <w:b/>
      <w:bCs/>
      <w:caps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5D534F"/>
    <w:rPr>
      <w:rFonts w:ascii="Times New Roman" w:eastAsiaTheme="majorEastAsia" w:hAnsi="Times New Roman" w:cstheme="majorBidi"/>
      <w:b/>
      <w:bCs/>
      <w:i/>
      <w:sz w:val="24"/>
      <w:szCs w:val="26"/>
      <w:u w:val="single"/>
    </w:rPr>
  </w:style>
  <w:style w:type="character" w:customStyle="1" w:styleId="70">
    <w:name w:val="Заголовок 7 Знак"/>
    <w:basedOn w:val="a0"/>
    <w:link w:val="7"/>
    <w:rsid w:val="005D534F"/>
    <w:rPr>
      <w:rFonts w:ascii="Times New Roman" w:eastAsia="Times New Roman" w:hAnsi="Times New Roman" w:cs="Times New Roman"/>
      <w:b/>
      <w:bCs/>
      <w:i/>
      <w:iCs/>
      <w:sz w:val="24"/>
      <w:szCs w:val="24"/>
      <w:u w:val="single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75BA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5BA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annotation text"/>
    <w:basedOn w:val="a"/>
    <w:link w:val="a7"/>
    <w:uiPriority w:val="99"/>
    <w:semiHidden/>
    <w:unhideWhenUsed/>
    <w:rsid w:val="00B75BAE"/>
    <w:pPr>
      <w:spacing w:line="240" w:lineRule="auto"/>
    </w:pPr>
  </w:style>
  <w:style w:type="character" w:customStyle="1" w:styleId="a7">
    <w:name w:val="Текст примечания Знак"/>
    <w:basedOn w:val="a0"/>
    <w:link w:val="a6"/>
    <w:uiPriority w:val="99"/>
    <w:semiHidden/>
    <w:rsid w:val="00B75BA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annotation reference"/>
    <w:basedOn w:val="a0"/>
    <w:uiPriority w:val="99"/>
    <w:rsid w:val="00B75BAE"/>
    <w:rPr>
      <w:sz w:val="16"/>
      <w:szCs w:val="16"/>
    </w:rPr>
  </w:style>
  <w:style w:type="table" w:styleId="a9">
    <w:name w:val="Table Grid"/>
    <w:basedOn w:val="a1"/>
    <w:uiPriority w:val="39"/>
    <w:rsid w:val="001407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276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BAE"/>
    <w:pPr>
      <w:spacing w:after="0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D534F"/>
    <w:pPr>
      <w:keepNext/>
      <w:keepLines/>
      <w:autoSpaceDE w:val="0"/>
      <w:autoSpaceDN w:val="0"/>
      <w:spacing w:before="480"/>
      <w:ind w:firstLine="0"/>
      <w:jc w:val="center"/>
      <w:outlineLvl w:val="0"/>
    </w:pPr>
    <w:rPr>
      <w:rFonts w:eastAsiaTheme="majorEastAsia" w:cstheme="majorBidi"/>
      <w:b/>
      <w:bCs/>
      <w:caps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5D534F"/>
    <w:pPr>
      <w:keepNext/>
      <w:keepLines/>
      <w:spacing w:before="200"/>
      <w:outlineLvl w:val="1"/>
    </w:pPr>
    <w:rPr>
      <w:rFonts w:eastAsiaTheme="majorEastAsia" w:cstheme="majorBidi"/>
      <w:b/>
      <w:bCs/>
      <w:i/>
      <w:szCs w:val="26"/>
      <w:u w:val="single"/>
    </w:rPr>
  </w:style>
  <w:style w:type="paragraph" w:styleId="7">
    <w:name w:val="heading 7"/>
    <w:basedOn w:val="a"/>
    <w:next w:val="a"/>
    <w:link w:val="70"/>
    <w:qFormat/>
    <w:rsid w:val="005D534F"/>
    <w:pPr>
      <w:keepNext/>
      <w:autoSpaceDE w:val="0"/>
      <w:autoSpaceDN w:val="0"/>
      <w:spacing w:before="120"/>
      <w:ind w:firstLine="0"/>
      <w:outlineLvl w:val="6"/>
    </w:pPr>
    <w:rPr>
      <w:b/>
      <w:bCs/>
      <w:i/>
      <w:iCs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D534F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0">
    <w:name w:val="Заголовок 1 Знак"/>
    <w:basedOn w:val="a0"/>
    <w:link w:val="1"/>
    <w:rsid w:val="005D534F"/>
    <w:rPr>
      <w:rFonts w:ascii="Times New Roman" w:eastAsiaTheme="majorEastAsia" w:hAnsi="Times New Roman" w:cstheme="majorBidi"/>
      <w:b/>
      <w:bCs/>
      <w:caps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5D534F"/>
    <w:rPr>
      <w:rFonts w:ascii="Times New Roman" w:eastAsiaTheme="majorEastAsia" w:hAnsi="Times New Roman" w:cstheme="majorBidi"/>
      <w:b/>
      <w:bCs/>
      <w:i/>
      <w:sz w:val="24"/>
      <w:szCs w:val="26"/>
      <w:u w:val="single"/>
    </w:rPr>
  </w:style>
  <w:style w:type="character" w:customStyle="1" w:styleId="70">
    <w:name w:val="Заголовок 7 Знак"/>
    <w:basedOn w:val="a0"/>
    <w:link w:val="7"/>
    <w:rsid w:val="005D534F"/>
    <w:rPr>
      <w:rFonts w:ascii="Times New Roman" w:eastAsia="Times New Roman" w:hAnsi="Times New Roman" w:cs="Times New Roman"/>
      <w:b/>
      <w:bCs/>
      <w:i/>
      <w:iCs/>
      <w:sz w:val="24"/>
      <w:szCs w:val="24"/>
      <w:u w:val="single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75BA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5BA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annotation text"/>
    <w:basedOn w:val="a"/>
    <w:link w:val="a7"/>
    <w:uiPriority w:val="99"/>
    <w:semiHidden/>
    <w:unhideWhenUsed/>
    <w:rsid w:val="00B75BAE"/>
    <w:pPr>
      <w:spacing w:line="240" w:lineRule="auto"/>
    </w:pPr>
  </w:style>
  <w:style w:type="character" w:customStyle="1" w:styleId="a7">
    <w:name w:val="Текст примечания Знак"/>
    <w:basedOn w:val="a0"/>
    <w:link w:val="a6"/>
    <w:uiPriority w:val="99"/>
    <w:semiHidden/>
    <w:rsid w:val="00B75BA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annotation reference"/>
    <w:basedOn w:val="a0"/>
    <w:uiPriority w:val="99"/>
    <w:rsid w:val="00B75BAE"/>
    <w:rPr>
      <w:sz w:val="16"/>
      <w:szCs w:val="16"/>
    </w:rPr>
  </w:style>
  <w:style w:type="table" w:styleId="a9">
    <w:name w:val="Table Grid"/>
    <w:basedOn w:val="a1"/>
    <w:uiPriority w:val="39"/>
    <w:rsid w:val="001407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276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516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Здравствуйте!</dc:creator>
  <cp:lastModifiedBy>Редькина Любовь Ивановна</cp:lastModifiedBy>
  <cp:revision>3</cp:revision>
  <dcterms:created xsi:type="dcterms:W3CDTF">2016-05-06T13:36:00Z</dcterms:created>
  <dcterms:modified xsi:type="dcterms:W3CDTF">2016-05-06T13:39:00Z</dcterms:modified>
</cp:coreProperties>
</file>