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038" w:rsidRDefault="002D0C9C" w:rsidP="00B82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C9C">
        <w:rPr>
          <w:rFonts w:ascii="Times New Roman" w:hAnsi="Times New Roman" w:cs="Times New Roman"/>
          <w:b/>
          <w:sz w:val="28"/>
          <w:szCs w:val="28"/>
        </w:rPr>
        <w:t xml:space="preserve">КОНЦЕПЦИЯ </w:t>
      </w:r>
      <w:r w:rsidRPr="002D0C9C">
        <w:rPr>
          <w:rFonts w:ascii="Times New Roman" w:hAnsi="Times New Roman" w:cs="Times New Roman"/>
          <w:b/>
          <w:sz w:val="28"/>
          <w:szCs w:val="28"/>
        </w:rPr>
        <w:br/>
        <w:t>СИСТЕМ</w:t>
      </w:r>
      <w:bookmarkStart w:id="0" w:name="_GoBack"/>
      <w:bookmarkEnd w:id="0"/>
      <w:r w:rsidRPr="002D0C9C">
        <w:rPr>
          <w:rFonts w:ascii="Times New Roman" w:hAnsi="Times New Roman" w:cs="Times New Roman"/>
          <w:b/>
          <w:sz w:val="28"/>
          <w:szCs w:val="28"/>
        </w:rPr>
        <w:t>Ы ГАРАНТИРОВАНИЯ ПРАВ УЧАСТНИКОВ НЕГОСУДАРСТВЕННОГО ПЕНСИОННОГО ОБЕСПЕЧЕНИЯ</w:t>
      </w:r>
      <w:r w:rsidR="0017703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31CF" w:rsidRDefault="00177038" w:rsidP="00B82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(СГП НПО)</w:t>
      </w:r>
    </w:p>
    <w:p w:rsidR="002D0C9C" w:rsidRDefault="002D0C9C" w:rsidP="002D0C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931" w:rsidRDefault="002D0C9C" w:rsidP="00DA2C70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2D0C9C">
        <w:rPr>
          <w:rFonts w:ascii="Times New Roman" w:hAnsi="Times New Roman" w:cs="Times New Roman"/>
          <w:b/>
          <w:sz w:val="28"/>
          <w:szCs w:val="28"/>
        </w:rPr>
        <w:t>Предпосылки</w:t>
      </w:r>
      <w:r w:rsidR="00DA2C70" w:rsidRPr="00DA2C70">
        <w:t xml:space="preserve"> </w:t>
      </w:r>
      <w:r w:rsidR="00DA2C70" w:rsidRPr="00DA2C70">
        <w:rPr>
          <w:rFonts w:ascii="Times New Roman" w:hAnsi="Times New Roman" w:cs="Times New Roman"/>
          <w:b/>
          <w:sz w:val="28"/>
          <w:szCs w:val="28"/>
        </w:rPr>
        <w:t>введения СГП НПО</w:t>
      </w:r>
    </w:p>
    <w:p w:rsidR="00F111AA" w:rsidRDefault="00F111AA" w:rsidP="00F111A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1AA">
        <w:rPr>
          <w:rFonts w:ascii="Times New Roman" w:hAnsi="Times New Roman" w:cs="Times New Roman"/>
          <w:sz w:val="28"/>
          <w:szCs w:val="28"/>
        </w:rPr>
        <w:t xml:space="preserve">Основной целью деятельности негосударственных пенсионных фондов (далее – НПФ) </w:t>
      </w:r>
      <w:r w:rsidR="00483666">
        <w:rPr>
          <w:rFonts w:ascii="Times New Roman" w:hAnsi="Times New Roman" w:cs="Times New Roman"/>
          <w:sz w:val="28"/>
          <w:szCs w:val="28"/>
        </w:rPr>
        <w:t xml:space="preserve">в Российской Федерации </w:t>
      </w:r>
      <w:r w:rsidRPr="00F111AA">
        <w:rPr>
          <w:rFonts w:ascii="Times New Roman" w:hAnsi="Times New Roman" w:cs="Times New Roman"/>
          <w:sz w:val="28"/>
          <w:szCs w:val="28"/>
        </w:rPr>
        <w:t xml:space="preserve">является формирование пенсионных сбережений </w:t>
      </w:r>
      <w:r w:rsidR="00483666">
        <w:rPr>
          <w:rFonts w:ascii="Times New Roman" w:hAnsi="Times New Roman" w:cs="Times New Roman"/>
          <w:sz w:val="28"/>
          <w:szCs w:val="28"/>
        </w:rPr>
        <w:t>граждан</w:t>
      </w:r>
      <w:r w:rsidR="00483666" w:rsidRPr="00F111AA">
        <w:rPr>
          <w:rFonts w:ascii="Times New Roman" w:hAnsi="Times New Roman" w:cs="Times New Roman"/>
          <w:sz w:val="28"/>
          <w:szCs w:val="28"/>
        </w:rPr>
        <w:t xml:space="preserve"> </w:t>
      </w:r>
      <w:r w:rsidRPr="00F111AA">
        <w:rPr>
          <w:rFonts w:ascii="Times New Roman" w:hAnsi="Times New Roman" w:cs="Times New Roman"/>
          <w:sz w:val="28"/>
          <w:szCs w:val="28"/>
        </w:rPr>
        <w:t xml:space="preserve">и выплата им пенсии после прекращения трудовой деятельности. </w:t>
      </w:r>
    </w:p>
    <w:p w:rsidR="00F111AA" w:rsidRPr="00F111AA" w:rsidRDefault="00F111AA" w:rsidP="00F111A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НПФ являются важным элементом пенсионной системы Российской Федерации, </w:t>
      </w:r>
      <w:r w:rsidR="000E165D">
        <w:rPr>
          <w:rFonts w:ascii="Times New Roman" w:hAnsi="Times New Roman" w:cs="Times New Roman"/>
          <w:sz w:val="28"/>
          <w:szCs w:val="28"/>
        </w:rPr>
        <w:t>позволяющим</w:t>
      </w:r>
      <w:r w:rsidR="003C372B">
        <w:rPr>
          <w:rFonts w:ascii="Times New Roman" w:hAnsi="Times New Roman" w:cs="Times New Roman"/>
          <w:sz w:val="28"/>
          <w:szCs w:val="28"/>
        </w:rPr>
        <w:t>, в том числе,</w:t>
      </w:r>
      <w:r w:rsidR="000E165D">
        <w:rPr>
          <w:rFonts w:ascii="Times New Roman" w:hAnsi="Times New Roman" w:cs="Times New Roman"/>
          <w:sz w:val="28"/>
          <w:szCs w:val="28"/>
        </w:rPr>
        <w:t xml:space="preserve"> обеспечить </w:t>
      </w:r>
      <w:r>
        <w:rPr>
          <w:rFonts w:ascii="Times New Roman" w:hAnsi="Times New Roman" w:cs="Times New Roman"/>
          <w:sz w:val="28"/>
          <w:szCs w:val="28"/>
        </w:rPr>
        <w:t xml:space="preserve">функционирование </w:t>
      </w:r>
      <w:r w:rsidR="00AD7DB1">
        <w:rPr>
          <w:rFonts w:ascii="Times New Roman" w:hAnsi="Times New Roman" w:cs="Times New Roman"/>
          <w:sz w:val="28"/>
          <w:szCs w:val="28"/>
        </w:rPr>
        <w:t xml:space="preserve">добровольного накопительного </w:t>
      </w:r>
      <w:r w:rsidR="000E165D">
        <w:rPr>
          <w:rFonts w:ascii="Times New Roman" w:hAnsi="Times New Roman" w:cs="Times New Roman"/>
          <w:sz w:val="28"/>
          <w:szCs w:val="28"/>
        </w:rPr>
        <w:t xml:space="preserve">компонента </w:t>
      </w:r>
      <w:r>
        <w:rPr>
          <w:rFonts w:ascii="Times New Roman" w:hAnsi="Times New Roman" w:cs="Times New Roman"/>
          <w:sz w:val="28"/>
          <w:szCs w:val="28"/>
        </w:rPr>
        <w:t>пенсионной системы</w:t>
      </w:r>
      <w:r w:rsidR="000E165D">
        <w:rPr>
          <w:rFonts w:ascii="Times New Roman" w:hAnsi="Times New Roman" w:cs="Times New Roman"/>
          <w:sz w:val="28"/>
          <w:szCs w:val="28"/>
        </w:rPr>
        <w:t xml:space="preserve"> и таким образом повысить уровень пенсионного обеспечения </w:t>
      </w:r>
      <w:r w:rsidR="00483666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="00740203">
        <w:rPr>
          <w:rFonts w:ascii="Times New Roman" w:hAnsi="Times New Roman" w:cs="Times New Roman"/>
          <w:sz w:val="28"/>
          <w:szCs w:val="28"/>
        </w:rPr>
        <w:t>за счет участия граждан и работодателей в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40203">
        <w:rPr>
          <w:rFonts w:ascii="Times New Roman" w:hAnsi="Times New Roman" w:cs="Times New Roman"/>
          <w:sz w:val="28"/>
          <w:szCs w:val="28"/>
        </w:rPr>
        <w:t>ах</w:t>
      </w:r>
      <w:r w:rsidRPr="00F111AA">
        <w:t xml:space="preserve"> </w:t>
      </w:r>
      <w:r w:rsidRPr="00F111AA">
        <w:rPr>
          <w:rFonts w:ascii="Times New Roman" w:hAnsi="Times New Roman" w:cs="Times New Roman"/>
          <w:sz w:val="28"/>
          <w:szCs w:val="28"/>
        </w:rPr>
        <w:t>негосударственного пенсионного обеспечения (далее – НПО)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11AA" w:rsidRDefault="00D14717" w:rsidP="00D14717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717">
        <w:rPr>
          <w:rFonts w:ascii="Times New Roman" w:hAnsi="Times New Roman" w:cs="Times New Roman"/>
          <w:sz w:val="28"/>
          <w:szCs w:val="28"/>
        </w:rPr>
        <w:t xml:space="preserve">По состоянию на 1 июля 2019 года 6,2 млн </w:t>
      </w:r>
      <w:r w:rsidR="000E165D">
        <w:rPr>
          <w:rFonts w:ascii="Times New Roman" w:hAnsi="Times New Roman" w:cs="Times New Roman"/>
          <w:sz w:val="28"/>
          <w:szCs w:val="28"/>
        </w:rPr>
        <w:t>граждан</w:t>
      </w:r>
      <w:r w:rsidR="000E165D" w:rsidRPr="00D14717">
        <w:rPr>
          <w:rFonts w:ascii="Times New Roman" w:hAnsi="Times New Roman" w:cs="Times New Roman"/>
          <w:sz w:val="28"/>
          <w:szCs w:val="28"/>
        </w:rPr>
        <w:t xml:space="preserve"> </w:t>
      </w:r>
      <w:r w:rsidRPr="00D14717">
        <w:rPr>
          <w:rFonts w:ascii="Times New Roman" w:hAnsi="Times New Roman" w:cs="Times New Roman"/>
          <w:sz w:val="28"/>
          <w:szCs w:val="28"/>
        </w:rPr>
        <w:t xml:space="preserve">доверили НПФ формирование своих пенсионных сбережений по программам НПО, общий объем пенсионных резервов на эту дату составил 1,3 трлн рублей. Выплаты негосударственной пенсии за 6 месяцев 2019 года составили 34,7 млрд рублей, а число получателей таких пенсий достигает 1,6 млн </w:t>
      </w:r>
      <w:r w:rsidR="000E165D">
        <w:rPr>
          <w:rFonts w:ascii="Times New Roman" w:hAnsi="Times New Roman" w:cs="Times New Roman"/>
          <w:sz w:val="28"/>
          <w:szCs w:val="28"/>
        </w:rPr>
        <w:t>граждан</w:t>
      </w:r>
      <w:r w:rsidRPr="00D14717">
        <w:rPr>
          <w:rFonts w:ascii="Times New Roman" w:hAnsi="Times New Roman" w:cs="Times New Roman"/>
          <w:sz w:val="28"/>
          <w:szCs w:val="28"/>
        </w:rPr>
        <w:t>.</w:t>
      </w:r>
    </w:p>
    <w:p w:rsidR="003443C4" w:rsidRDefault="003443C4" w:rsidP="003443C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деятельность НПФ по НПО (с учетом ее целей, функций и масштаба) обладает особой социальной значимостью и требует обеспечения высокого уровня защиты прав граждан</w:t>
      </w:r>
      <w:r w:rsidR="007C3F94">
        <w:rPr>
          <w:rFonts w:ascii="Times New Roman" w:hAnsi="Times New Roman" w:cs="Times New Roman"/>
          <w:sz w:val="28"/>
          <w:szCs w:val="28"/>
        </w:rPr>
        <w:t>-клиентов НПФ и их пенсионных сбережений</w:t>
      </w:r>
      <w:r w:rsidRPr="00F111AA">
        <w:rPr>
          <w:rFonts w:ascii="Times New Roman" w:hAnsi="Times New Roman" w:cs="Times New Roman"/>
          <w:sz w:val="28"/>
          <w:szCs w:val="28"/>
        </w:rPr>
        <w:t>.</w:t>
      </w:r>
    </w:p>
    <w:p w:rsidR="000E165D" w:rsidRDefault="007C3F94" w:rsidP="00D14717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с</w:t>
      </w:r>
      <w:r w:rsidR="000E165D">
        <w:rPr>
          <w:rFonts w:ascii="Times New Roman" w:hAnsi="Times New Roman" w:cs="Times New Roman"/>
          <w:sz w:val="28"/>
          <w:szCs w:val="28"/>
        </w:rPr>
        <w:t xml:space="preserve"> учетом демографических тенденций</w:t>
      </w:r>
      <w:r w:rsidR="003443C4">
        <w:rPr>
          <w:rFonts w:ascii="Times New Roman" w:hAnsi="Times New Roman" w:cs="Times New Roman"/>
          <w:sz w:val="28"/>
          <w:szCs w:val="28"/>
        </w:rPr>
        <w:t xml:space="preserve"> в развитых и развивающихся странах</w:t>
      </w:r>
      <w:r w:rsidR="00B82BBE">
        <w:rPr>
          <w:rFonts w:ascii="Times New Roman" w:hAnsi="Times New Roman" w:cs="Times New Roman"/>
          <w:sz w:val="28"/>
          <w:szCs w:val="28"/>
        </w:rPr>
        <w:t>, а также с учетом целей и задач развития пенсионной системы, установленных Стратегией долгосрочного развития пенсионной системы Российской Федерации</w:t>
      </w:r>
      <w:r w:rsidR="00C31525">
        <w:rPr>
          <w:rStyle w:val="aa"/>
          <w:rFonts w:ascii="Times New Roman" w:hAnsi="Times New Roman" w:cs="Times New Roman"/>
          <w:sz w:val="28"/>
          <w:szCs w:val="28"/>
        </w:rPr>
        <w:footnoteReference w:id="1"/>
      </w:r>
      <w:r w:rsidR="00B82BB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для государства </w:t>
      </w:r>
      <w:r w:rsidR="003443C4">
        <w:rPr>
          <w:rFonts w:ascii="Times New Roman" w:hAnsi="Times New Roman" w:cs="Times New Roman"/>
          <w:sz w:val="28"/>
          <w:szCs w:val="28"/>
        </w:rPr>
        <w:t xml:space="preserve">все более актуальным </w:t>
      </w:r>
      <w:r w:rsidR="003443C4">
        <w:rPr>
          <w:rFonts w:ascii="Times New Roman" w:hAnsi="Times New Roman" w:cs="Times New Roman"/>
          <w:sz w:val="28"/>
          <w:szCs w:val="28"/>
        </w:rPr>
        <w:lastRenderedPageBreak/>
        <w:t>становится вопрос о стимулировании активного участия граждан и работодателей в добровольных пенсионных программах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83666">
        <w:rPr>
          <w:rFonts w:ascii="Times New Roman" w:hAnsi="Times New Roman" w:cs="Times New Roman"/>
          <w:sz w:val="28"/>
          <w:szCs w:val="28"/>
        </w:rPr>
        <w:t xml:space="preserve">предоставляющих возможность самостоятельно сберегать средства на будущую пенсию и </w:t>
      </w:r>
      <w:r>
        <w:rPr>
          <w:rFonts w:ascii="Times New Roman" w:hAnsi="Times New Roman" w:cs="Times New Roman"/>
          <w:sz w:val="28"/>
          <w:szCs w:val="28"/>
        </w:rPr>
        <w:t>обеспечить достойный уровень дохода</w:t>
      </w:r>
      <w:r w:rsidR="003443C4">
        <w:rPr>
          <w:rFonts w:ascii="Times New Roman" w:hAnsi="Times New Roman" w:cs="Times New Roman"/>
          <w:sz w:val="28"/>
          <w:szCs w:val="28"/>
        </w:rPr>
        <w:t xml:space="preserve"> после выхода на </w:t>
      </w:r>
      <w:r>
        <w:rPr>
          <w:rFonts w:ascii="Times New Roman" w:hAnsi="Times New Roman" w:cs="Times New Roman"/>
          <w:sz w:val="28"/>
          <w:szCs w:val="28"/>
        </w:rPr>
        <w:t>пенсию</w:t>
      </w:r>
      <w:r w:rsidR="003443C4">
        <w:rPr>
          <w:rFonts w:ascii="Times New Roman" w:hAnsi="Times New Roman" w:cs="Times New Roman"/>
          <w:sz w:val="28"/>
          <w:szCs w:val="28"/>
        </w:rPr>
        <w:t>.</w:t>
      </w:r>
    </w:p>
    <w:p w:rsidR="007C3F94" w:rsidRPr="00D14717" w:rsidRDefault="007C3F94" w:rsidP="00D14717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вышеизложенного, представляется, что достижению указанных целей будет способствовать </w:t>
      </w:r>
      <w:r w:rsidRPr="00F111AA">
        <w:rPr>
          <w:rFonts w:ascii="Times New Roman" w:hAnsi="Times New Roman" w:cs="Times New Roman"/>
          <w:sz w:val="28"/>
          <w:szCs w:val="28"/>
        </w:rPr>
        <w:t xml:space="preserve">внедрение </w:t>
      </w:r>
      <w:r>
        <w:rPr>
          <w:rFonts w:ascii="Times New Roman" w:hAnsi="Times New Roman" w:cs="Times New Roman"/>
          <w:sz w:val="28"/>
          <w:szCs w:val="28"/>
        </w:rPr>
        <w:t>системы гарантирования прав участников негосударственного пенсионного обеспечения (далее – СГП НПО) на основании механизмов, используемых сегодня в системе гарантирования пенсионных накоплений.</w:t>
      </w:r>
    </w:p>
    <w:p w:rsidR="00F111AA" w:rsidRPr="00DA2C70" w:rsidRDefault="00F111AA" w:rsidP="00CF4B87">
      <w:pPr>
        <w:pStyle w:val="a3"/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2D0C9C" w:rsidRDefault="00F82559" w:rsidP="00DA2C70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contextualSpacing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 и </w:t>
      </w:r>
      <w:r w:rsidR="00AC12B4">
        <w:rPr>
          <w:rFonts w:ascii="Times New Roman" w:hAnsi="Times New Roman" w:cs="Times New Roman"/>
          <w:b/>
          <w:sz w:val="28"/>
          <w:szCs w:val="28"/>
        </w:rPr>
        <w:t>принципы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0C9C">
        <w:rPr>
          <w:rFonts w:ascii="Times New Roman" w:hAnsi="Times New Roman" w:cs="Times New Roman"/>
          <w:b/>
          <w:sz w:val="28"/>
          <w:szCs w:val="28"/>
        </w:rPr>
        <w:t>СГП НПО</w:t>
      </w:r>
    </w:p>
    <w:p w:rsidR="003230DD" w:rsidRDefault="003230DD" w:rsidP="003230DD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82BBE">
        <w:rPr>
          <w:rFonts w:ascii="Times New Roman" w:hAnsi="Times New Roman" w:cs="Times New Roman"/>
          <w:b/>
          <w:sz w:val="28"/>
          <w:szCs w:val="28"/>
        </w:rPr>
        <w:t>Целями</w:t>
      </w:r>
      <w:r w:rsidRPr="003230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введения СГП НПО </w:t>
      </w:r>
      <w:r w:rsidRPr="003230DD">
        <w:rPr>
          <w:rFonts w:ascii="Times New Roman" w:hAnsi="Times New Roman" w:cs="Times New Roman"/>
          <w:sz w:val="28"/>
          <w:szCs w:val="28"/>
        </w:rPr>
        <w:t>являются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230DD" w:rsidRPr="000C3413" w:rsidRDefault="003230DD" w:rsidP="000C3413">
      <w:pPr>
        <w:pStyle w:val="a3"/>
        <w:numPr>
          <w:ilvl w:val="0"/>
          <w:numId w:val="2"/>
        </w:numPr>
        <w:spacing w:after="0" w:line="360" w:lineRule="auto"/>
        <w:ind w:left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230DD">
        <w:rPr>
          <w:rFonts w:ascii="Times New Roman" w:hAnsi="Times New Roman" w:cs="Times New Roman"/>
          <w:sz w:val="28"/>
          <w:szCs w:val="28"/>
        </w:rPr>
        <w:t xml:space="preserve">защита прав и законных интересов </w:t>
      </w:r>
      <w:r>
        <w:rPr>
          <w:rFonts w:ascii="Times New Roman" w:hAnsi="Times New Roman" w:cs="Times New Roman"/>
          <w:sz w:val="28"/>
          <w:szCs w:val="28"/>
        </w:rPr>
        <w:t>участников НПО</w:t>
      </w:r>
      <w:r w:rsidR="000C3413">
        <w:rPr>
          <w:rFonts w:ascii="Times New Roman" w:hAnsi="Times New Roman" w:cs="Times New Roman"/>
          <w:sz w:val="28"/>
          <w:szCs w:val="28"/>
        </w:rPr>
        <w:t>;</w:t>
      </w:r>
    </w:p>
    <w:p w:rsidR="003230DD" w:rsidRDefault="00F61D74" w:rsidP="003230DD">
      <w:pPr>
        <w:pStyle w:val="a3"/>
        <w:numPr>
          <w:ilvl w:val="0"/>
          <w:numId w:val="2"/>
        </w:numPr>
        <w:spacing w:after="0" w:line="360" w:lineRule="auto"/>
        <w:ind w:left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</w:t>
      </w:r>
      <w:r w:rsidR="00B82BB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11AA">
        <w:rPr>
          <w:rFonts w:ascii="Times New Roman" w:hAnsi="Times New Roman" w:cs="Times New Roman"/>
          <w:sz w:val="28"/>
          <w:szCs w:val="28"/>
        </w:rPr>
        <w:t>уровня пенси</w:t>
      </w:r>
      <w:r>
        <w:rPr>
          <w:rFonts w:ascii="Times New Roman" w:hAnsi="Times New Roman" w:cs="Times New Roman"/>
          <w:sz w:val="28"/>
          <w:szCs w:val="28"/>
        </w:rPr>
        <w:t>онного обеспечения граждан</w:t>
      </w:r>
      <w:r w:rsidR="003230DD">
        <w:rPr>
          <w:rFonts w:ascii="Times New Roman" w:hAnsi="Times New Roman" w:cs="Times New Roman"/>
          <w:sz w:val="28"/>
          <w:szCs w:val="28"/>
        </w:rPr>
        <w:t xml:space="preserve"> за счет стимулирования </w:t>
      </w:r>
      <w:r w:rsidR="00F111AA">
        <w:rPr>
          <w:rFonts w:ascii="Times New Roman" w:hAnsi="Times New Roman" w:cs="Times New Roman"/>
          <w:sz w:val="28"/>
          <w:szCs w:val="28"/>
        </w:rPr>
        <w:t xml:space="preserve">участия </w:t>
      </w:r>
      <w:r w:rsidR="003230DD">
        <w:rPr>
          <w:rFonts w:ascii="Times New Roman" w:hAnsi="Times New Roman" w:cs="Times New Roman"/>
          <w:sz w:val="28"/>
          <w:szCs w:val="28"/>
        </w:rPr>
        <w:t>граждан и</w:t>
      </w:r>
      <w:r w:rsidR="000C3413">
        <w:rPr>
          <w:rFonts w:ascii="Times New Roman" w:hAnsi="Times New Roman" w:cs="Times New Roman"/>
          <w:sz w:val="28"/>
          <w:szCs w:val="28"/>
        </w:rPr>
        <w:t xml:space="preserve"> работодателей в программах НПО;</w:t>
      </w:r>
    </w:p>
    <w:p w:rsidR="000C3413" w:rsidRDefault="000C3413" w:rsidP="003230DD">
      <w:pPr>
        <w:pStyle w:val="a3"/>
        <w:numPr>
          <w:ilvl w:val="0"/>
          <w:numId w:val="2"/>
        </w:numPr>
        <w:spacing w:after="0" w:line="360" w:lineRule="auto"/>
        <w:ind w:left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230DD">
        <w:rPr>
          <w:rFonts w:ascii="Times New Roman" w:hAnsi="Times New Roman" w:cs="Times New Roman"/>
          <w:sz w:val="28"/>
          <w:szCs w:val="28"/>
        </w:rPr>
        <w:t xml:space="preserve">укрепление доверия к </w:t>
      </w:r>
      <w:r>
        <w:rPr>
          <w:rFonts w:ascii="Times New Roman" w:hAnsi="Times New Roman" w:cs="Times New Roman"/>
          <w:sz w:val="28"/>
          <w:szCs w:val="28"/>
        </w:rPr>
        <w:t>пенсионной системе Российской Федерации и р</w:t>
      </w:r>
      <w:r w:rsidRPr="00F111AA">
        <w:rPr>
          <w:rFonts w:ascii="Times New Roman" w:hAnsi="Times New Roman" w:cs="Times New Roman"/>
          <w:sz w:val="28"/>
          <w:szCs w:val="28"/>
        </w:rPr>
        <w:t xml:space="preserve">азвитие </w:t>
      </w:r>
      <w:r>
        <w:rPr>
          <w:rFonts w:ascii="Times New Roman" w:hAnsi="Times New Roman" w:cs="Times New Roman"/>
          <w:sz w:val="28"/>
          <w:szCs w:val="28"/>
        </w:rPr>
        <w:t xml:space="preserve">в Российской Федерации </w:t>
      </w:r>
      <w:r w:rsidRPr="00F111AA">
        <w:rPr>
          <w:rFonts w:ascii="Times New Roman" w:hAnsi="Times New Roman" w:cs="Times New Roman"/>
          <w:sz w:val="28"/>
          <w:szCs w:val="28"/>
        </w:rPr>
        <w:t>трехуровневой пенсионной системы</w:t>
      </w:r>
      <w:r w:rsidR="00010C39" w:rsidRPr="00AD7DB1">
        <w:rPr>
          <w:rFonts w:ascii="Times New Roman" w:hAnsi="Times New Roman" w:cs="Times New Roman"/>
          <w:sz w:val="28"/>
          <w:szCs w:val="28"/>
        </w:rPr>
        <w:t>;</w:t>
      </w:r>
    </w:p>
    <w:p w:rsidR="00F111AA" w:rsidRDefault="00CA2F88" w:rsidP="000C3413">
      <w:pPr>
        <w:pStyle w:val="a3"/>
        <w:numPr>
          <w:ilvl w:val="0"/>
          <w:numId w:val="2"/>
        </w:numPr>
        <w:spacing w:after="0" w:line="360" w:lineRule="auto"/>
        <w:ind w:left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усиление</w:t>
      </w:r>
      <w:r w:rsidR="00177038">
        <w:rPr>
          <w:rFonts w:ascii="Times New Roman" w:hAnsi="Times New Roman" w:cs="Times New Roman"/>
          <w:sz w:val="28"/>
          <w:szCs w:val="28"/>
        </w:rPr>
        <w:t xml:space="preserve"> роли </w:t>
      </w:r>
      <w:r w:rsidR="004B1C7F">
        <w:rPr>
          <w:rFonts w:ascii="Times New Roman" w:hAnsi="Times New Roman" w:cs="Times New Roman"/>
          <w:sz w:val="28"/>
          <w:szCs w:val="28"/>
        </w:rPr>
        <w:t xml:space="preserve">пенсионных резервов </w:t>
      </w:r>
      <w:r w:rsidR="00177038">
        <w:rPr>
          <w:rFonts w:ascii="Times New Roman" w:hAnsi="Times New Roman" w:cs="Times New Roman"/>
          <w:sz w:val="28"/>
          <w:szCs w:val="28"/>
        </w:rPr>
        <w:t xml:space="preserve">как источника длинных денег для экономики страны за счет </w:t>
      </w:r>
      <w:r w:rsidR="004B1C7F">
        <w:rPr>
          <w:rFonts w:ascii="Times New Roman" w:hAnsi="Times New Roman" w:cs="Times New Roman"/>
          <w:sz w:val="28"/>
          <w:szCs w:val="28"/>
        </w:rPr>
        <w:t>формирования</w:t>
      </w:r>
      <w:r w:rsidR="004B1C7F" w:rsidRPr="003230DD">
        <w:rPr>
          <w:rFonts w:ascii="Times New Roman" w:hAnsi="Times New Roman" w:cs="Times New Roman"/>
          <w:sz w:val="28"/>
          <w:szCs w:val="28"/>
        </w:rPr>
        <w:t xml:space="preserve"> </w:t>
      </w:r>
      <w:r w:rsidR="00177038"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="004B1C7F">
        <w:rPr>
          <w:rFonts w:ascii="Times New Roman" w:hAnsi="Times New Roman" w:cs="Times New Roman"/>
          <w:sz w:val="28"/>
          <w:szCs w:val="28"/>
        </w:rPr>
        <w:t xml:space="preserve">пенсионных </w:t>
      </w:r>
      <w:r w:rsidR="00177038">
        <w:rPr>
          <w:rFonts w:ascii="Times New Roman" w:hAnsi="Times New Roman" w:cs="Times New Roman"/>
          <w:sz w:val="28"/>
          <w:szCs w:val="28"/>
        </w:rPr>
        <w:t>сбережений</w:t>
      </w:r>
      <w:r w:rsidR="003230DD">
        <w:rPr>
          <w:rFonts w:ascii="Times New Roman" w:hAnsi="Times New Roman" w:cs="Times New Roman"/>
          <w:sz w:val="28"/>
          <w:szCs w:val="28"/>
        </w:rPr>
        <w:t xml:space="preserve"> </w:t>
      </w:r>
      <w:r w:rsidR="004B1C7F">
        <w:rPr>
          <w:rFonts w:ascii="Times New Roman" w:hAnsi="Times New Roman" w:cs="Times New Roman"/>
          <w:sz w:val="28"/>
          <w:szCs w:val="28"/>
        </w:rPr>
        <w:t>по программам</w:t>
      </w:r>
      <w:r w:rsidR="00177038">
        <w:rPr>
          <w:rFonts w:ascii="Times New Roman" w:hAnsi="Times New Roman" w:cs="Times New Roman"/>
          <w:sz w:val="28"/>
          <w:szCs w:val="28"/>
        </w:rPr>
        <w:t xml:space="preserve"> НПО;</w:t>
      </w:r>
    </w:p>
    <w:p w:rsidR="00177038" w:rsidRPr="000C3413" w:rsidRDefault="00177038" w:rsidP="000C3413">
      <w:pPr>
        <w:pStyle w:val="a3"/>
        <w:numPr>
          <w:ilvl w:val="0"/>
          <w:numId w:val="2"/>
        </w:numPr>
        <w:spacing w:after="0" w:line="360" w:lineRule="auto"/>
        <w:ind w:left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уровня конкуренции на рынке НПФ.</w:t>
      </w:r>
    </w:p>
    <w:p w:rsidR="00B47054" w:rsidRPr="00B47054" w:rsidRDefault="00B47054" w:rsidP="00B470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054"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Pr="004B1C7F">
        <w:rPr>
          <w:rFonts w:ascii="Times New Roman" w:hAnsi="Times New Roman" w:cs="Times New Roman"/>
          <w:b/>
          <w:sz w:val="28"/>
          <w:szCs w:val="28"/>
        </w:rPr>
        <w:t>принципами</w:t>
      </w:r>
      <w:r w:rsidRPr="00B47054">
        <w:rPr>
          <w:rFonts w:ascii="Times New Roman" w:hAnsi="Times New Roman" w:cs="Times New Roman"/>
          <w:sz w:val="28"/>
          <w:szCs w:val="28"/>
        </w:rPr>
        <w:t xml:space="preserve"> </w:t>
      </w:r>
      <w:r w:rsidR="00CF1996">
        <w:rPr>
          <w:rFonts w:ascii="Times New Roman" w:hAnsi="Times New Roman" w:cs="Times New Roman"/>
          <w:sz w:val="28"/>
          <w:szCs w:val="28"/>
        </w:rPr>
        <w:t xml:space="preserve">построения </w:t>
      </w:r>
      <w:r w:rsidR="003C372B">
        <w:rPr>
          <w:rFonts w:ascii="Times New Roman" w:hAnsi="Times New Roman" w:cs="Times New Roman"/>
          <w:sz w:val="28"/>
          <w:szCs w:val="28"/>
        </w:rPr>
        <w:t xml:space="preserve">предлагаемой </w:t>
      </w:r>
      <w:r>
        <w:rPr>
          <w:rFonts w:ascii="Times New Roman" w:hAnsi="Times New Roman" w:cs="Times New Roman"/>
          <w:sz w:val="28"/>
          <w:szCs w:val="28"/>
        </w:rPr>
        <w:t>СГП НПО</w:t>
      </w:r>
      <w:r w:rsidRPr="00B47054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B47054" w:rsidRDefault="00B47054" w:rsidP="004B1C7F">
      <w:pPr>
        <w:pStyle w:val="a3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1316C">
        <w:rPr>
          <w:rFonts w:ascii="Times New Roman" w:hAnsi="Times New Roman" w:cs="Times New Roman"/>
          <w:sz w:val="28"/>
          <w:szCs w:val="28"/>
        </w:rPr>
        <w:t xml:space="preserve">обязательность участия </w:t>
      </w:r>
      <w:r w:rsidR="0091316C" w:rsidRPr="0091316C">
        <w:rPr>
          <w:rFonts w:ascii="Times New Roman" w:hAnsi="Times New Roman" w:cs="Times New Roman"/>
          <w:sz w:val="28"/>
          <w:szCs w:val="28"/>
        </w:rPr>
        <w:t>НПФ, осуществляющих деятельность по НПО</w:t>
      </w:r>
      <w:r w:rsidR="0091316C" w:rsidRPr="00913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применением </w:t>
      </w:r>
      <w:r w:rsidR="000C3413">
        <w:rPr>
          <w:rFonts w:ascii="Times New Roman" w:hAnsi="Times New Roman" w:cs="Times New Roman"/>
          <w:sz w:val="28"/>
          <w:szCs w:val="28"/>
        </w:rPr>
        <w:t>пенсионных схем</w:t>
      </w:r>
      <w:r w:rsidR="0091316C" w:rsidRPr="0091316C">
        <w:rPr>
          <w:rFonts w:ascii="Times New Roman" w:hAnsi="Times New Roman" w:cs="Times New Roman"/>
          <w:sz w:val="28"/>
          <w:szCs w:val="28"/>
        </w:rPr>
        <w:t>, предусматривающ</w:t>
      </w:r>
      <w:r w:rsidR="000C3413">
        <w:rPr>
          <w:rFonts w:ascii="Times New Roman" w:hAnsi="Times New Roman" w:cs="Times New Roman"/>
          <w:sz w:val="28"/>
          <w:szCs w:val="28"/>
        </w:rPr>
        <w:t>их</w:t>
      </w:r>
      <w:r w:rsidR="0091316C" w:rsidRPr="0091316C">
        <w:rPr>
          <w:rFonts w:ascii="Times New Roman" w:hAnsi="Times New Roman" w:cs="Times New Roman"/>
          <w:sz w:val="28"/>
          <w:szCs w:val="28"/>
        </w:rPr>
        <w:t xml:space="preserve"> учет пенсионных взносов на именных счетах участников</w:t>
      </w:r>
      <w:r w:rsidR="000C3413">
        <w:rPr>
          <w:rFonts w:ascii="Times New Roman" w:hAnsi="Times New Roman" w:cs="Times New Roman"/>
          <w:sz w:val="28"/>
          <w:szCs w:val="28"/>
        </w:rPr>
        <w:t>, в СГП НПО</w:t>
      </w:r>
      <w:r w:rsidR="0091316C" w:rsidRPr="0091316C">
        <w:rPr>
          <w:rFonts w:ascii="Times New Roman" w:hAnsi="Times New Roman" w:cs="Times New Roman"/>
          <w:sz w:val="28"/>
          <w:szCs w:val="28"/>
        </w:rPr>
        <w:t>;</w:t>
      </w:r>
    </w:p>
    <w:p w:rsidR="00CF1996" w:rsidRDefault="00CF1996" w:rsidP="004B1C7F">
      <w:pPr>
        <w:pStyle w:val="a3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универсальный характер СГП НПО</w:t>
      </w:r>
      <w:r w:rsidR="004B1C7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охват всех существующих пенсионных схем</w:t>
      </w:r>
      <w:r w:rsidR="006F2109">
        <w:rPr>
          <w:rFonts w:ascii="Times New Roman" w:hAnsi="Times New Roman" w:cs="Times New Roman"/>
          <w:sz w:val="28"/>
          <w:szCs w:val="28"/>
        </w:rPr>
        <w:t xml:space="preserve"> НПО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1316C">
        <w:rPr>
          <w:rFonts w:ascii="Times New Roman" w:hAnsi="Times New Roman" w:cs="Times New Roman"/>
          <w:sz w:val="28"/>
          <w:szCs w:val="28"/>
        </w:rPr>
        <w:t>предусматривающ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91316C">
        <w:rPr>
          <w:rFonts w:ascii="Times New Roman" w:hAnsi="Times New Roman" w:cs="Times New Roman"/>
          <w:sz w:val="28"/>
          <w:szCs w:val="28"/>
        </w:rPr>
        <w:t xml:space="preserve"> учет пенсионных взносов на именных счетах участников</w:t>
      </w:r>
      <w:r>
        <w:rPr>
          <w:rFonts w:ascii="Times New Roman" w:hAnsi="Times New Roman" w:cs="Times New Roman"/>
          <w:sz w:val="28"/>
          <w:szCs w:val="28"/>
        </w:rPr>
        <w:t>, независимо от условий таких пенсионных схем;</w:t>
      </w:r>
    </w:p>
    <w:p w:rsidR="006F2109" w:rsidRDefault="006F2109" w:rsidP="004B1C7F">
      <w:pPr>
        <w:pStyle w:val="a3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ограничение предельного размера гарантий</w:t>
      </w:r>
      <w:r w:rsidR="00CA2F88">
        <w:rPr>
          <w:rFonts w:ascii="Times New Roman" w:hAnsi="Times New Roman" w:cs="Times New Roman"/>
          <w:sz w:val="28"/>
          <w:szCs w:val="28"/>
        </w:rPr>
        <w:t>, обеспечивающее сбалансированность и устойчивость СГП НПО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2109" w:rsidRPr="000C3413" w:rsidRDefault="006F2109" w:rsidP="004B1C7F">
      <w:pPr>
        <w:pStyle w:val="a3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покрытие гарантией большей части пенсионных сбережений в НПО;</w:t>
      </w:r>
    </w:p>
    <w:p w:rsidR="00B47054" w:rsidRPr="00B47054" w:rsidRDefault="00B47054" w:rsidP="00B47054">
      <w:pPr>
        <w:pStyle w:val="a3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47054">
        <w:rPr>
          <w:rFonts w:ascii="Times New Roman" w:hAnsi="Times New Roman" w:cs="Times New Roman"/>
          <w:sz w:val="28"/>
          <w:szCs w:val="28"/>
        </w:rPr>
        <w:t xml:space="preserve">прозрачность </w:t>
      </w:r>
      <w:r>
        <w:rPr>
          <w:rFonts w:ascii="Times New Roman" w:hAnsi="Times New Roman" w:cs="Times New Roman"/>
          <w:sz w:val="28"/>
          <w:szCs w:val="28"/>
        </w:rPr>
        <w:t>СГП НПО</w:t>
      </w:r>
      <w:r w:rsidRPr="00B47054">
        <w:rPr>
          <w:rFonts w:ascii="Times New Roman" w:hAnsi="Times New Roman" w:cs="Times New Roman"/>
          <w:sz w:val="28"/>
          <w:szCs w:val="28"/>
        </w:rPr>
        <w:t>;</w:t>
      </w:r>
    </w:p>
    <w:p w:rsidR="00B47054" w:rsidRPr="0091316C" w:rsidRDefault="00B47054" w:rsidP="0091316C">
      <w:pPr>
        <w:pStyle w:val="a3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47054">
        <w:rPr>
          <w:rFonts w:ascii="Times New Roman" w:hAnsi="Times New Roman" w:cs="Times New Roman"/>
          <w:sz w:val="28"/>
          <w:szCs w:val="28"/>
        </w:rPr>
        <w:t xml:space="preserve">накопительный характер формирования фонда </w:t>
      </w:r>
      <w:r w:rsidR="0091316C">
        <w:rPr>
          <w:rFonts w:ascii="Times New Roman" w:hAnsi="Times New Roman" w:cs="Times New Roman"/>
          <w:sz w:val="28"/>
          <w:szCs w:val="28"/>
        </w:rPr>
        <w:t>гарантирования НПО</w:t>
      </w:r>
      <w:r w:rsidRPr="00B47054">
        <w:rPr>
          <w:rFonts w:ascii="Times New Roman" w:hAnsi="Times New Roman" w:cs="Times New Roman"/>
          <w:sz w:val="28"/>
          <w:szCs w:val="28"/>
        </w:rPr>
        <w:t xml:space="preserve"> за счет регулярных </w:t>
      </w:r>
      <w:r w:rsidR="0091316C">
        <w:rPr>
          <w:rFonts w:ascii="Times New Roman" w:hAnsi="Times New Roman" w:cs="Times New Roman"/>
          <w:sz w:val="28"/>
          <w:szCs w:val="28"/>
        </w:rPr>
        <w:t>гарантийных</w:t>
      </w:r>
      <w:r w:rsidRPr="00B47054">
        <w:rPr>
          <w:rFonts w:ascii="Times New Roman" w:hAnsi="Times New Roman" w:cs="Times New Roman"/>
          <w:sz w:val="28"/>
          <w:szCs w:val="28"/>
        </w:rPr>
        <w:t xml:space="preserve"> взносов </w:t>
      </w:r>
      <w:r w:rsidR="0091316C">
        <w:rPr>
          <w:rFonts w:ascii="Times New Roman" w:hAnsi="Times New Roman" w:cs="Times New Roman"/>
          <w:sz w:val="28"/>
          <w:szCs w:val="28"/>
        </w:rPr>
        <w:t>НПФ</w:t>
      </w:r>
      <w:r w:rsidRPr="00B47054">
        <w:rPr>
          <w:rFonts w:ascii="Times New Roman" w:hAnsi="Times New Roman" w:cs="Times New Roman"/>
          <w:sz w:val="28"/>
          <w:szCs w:val="28"/>
        </w:rPr>
        <w:t>.</w:t>
      </w:r>
    </w:p>
    <w:p w:rsidR="00F82559" w:rsidRPr="00DA2C70" w:rsidRDefault="00F82559" w:rsidP="003230DD">
      <w:pPr>
        <w:pStyle w:val="a3"/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2B56FD" w:rsidRDefault="003C372B" w:rsidP="00CB2E7A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contextualSpacing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планируемые параметры</w:t>
      </w:r>
      <w:r w:rsidR="00422A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5402">
        <w:rPr>
          <w:rFonts w:ascii="Times New Roman" w:hAnsi="Times New Roman" w:cs="Times New Roman"/>
          <w:b/>
          <w:sz w:val="28"/>
          <w:szCs w:val="28"/>
        </w:rPr>
        <w:t xml:space="preserve">СГП </w:t>
      </w:r>
      <w:r w:rsidR="00422AB7">
        <w:rPr>
          <w:rFonts w:ascii="Times New Roman" w:hAnsi="Times New Roman" w:cs="Times New Roman"/>
          <w:b/>
          <w:sz w:val="28"/>
          <w:szCs w:val="28"/>
        </w:rPr>
        <w:t>НПО</w:t>
      </w:r>
    </w:p>
    <w:p w:rsidR="00D85402" w:rsidRPr="00D85402" w:rsidRDefault="001D07B4" w:rsidP="00D85402">
      <w:pPr>
        <w:pStyle w:val="a3"/>
        <w:numPr>
          <w:ilvl w:val="1"/>
          <w:numId w:val="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85402" w:rsidRPr="00D85402">
        <w:rPr>
          <w:rFonts w:ascii="Times New Roman" w:hAnsi="Times New Roman" w:cs="Times New Roman"/>
          <w:b/>
          <w:i/>
          <w:sz w:val="28"/>
          <w:szCs w:val="28"/>
        </w:rPr>
        <w:t>Гарантийный случай</w:t>
      </w:r>
    </w:p>
    <w:p w:rsidR="00F82559" w:rsidRDefault="00F82559" w:rsidP="00F82559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Гарантийным случаем признается </w:t>
      </w:r>
      <w:r w:rsidRPr="004B1C7F">
        <w:rPr>
          <w:rFonts w:ascii="Times New Roman" w:hAnsi="Times New Roman" w:cs="Times New Roman"/>
          <w:b/>
          <w:sz w:val="28"/>
          <w:szCs w:val="28"/>
        </w:rPr>
        <w:t>аннулирование лицензии НПФ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2559">
        <w:rPr>
          <w:rFonts w:ascii="Times New Roman" w:hAnsi="Times New Roman" w:cs="Times New Roman"/>
          <w:sz w:val="28"/>
          <w:szCs w:val="28"/>
        </w:rPr>
        <w:t xml:space="preserve">и (или) </w:t>
      </w:r>
      <w:r w:rsidRPr="004B1C7F">
        <w:rPr>
          <w:rFonts w:ascii="Times New Roman" w:hAnsi="Times New Roman" w:cs="Times New Roman"/>
          <w:b/>
          <w:sz w:val="28"/>
          <w:szCs w:val="28"/>
        </w:rPr>
        <w:t>признание НПФ</w:t>
      </w:r>
      <w:r w:rsidR="00CF1996" w:rsidRPr="004B1C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1C7F">
        <w:rPr>
          <w:rFonts w:ascii="Times New Roman" w:hAnsi="Times New Roman" w:cs="Times New Roman"/>
          <w:b/>
          <w:sz w:val="28"/>
          <w:szCs w:val="28"/>
        </w:rPr>
        <w:t>банкротом</w:t>
      </w:r>
      <w:r w:rsidRPr="00F82559">
        <w:rPr>
          <w:rFonts w:ascii="Times New Roman" w:hAnsi="Times New Roman" w:cs="Times New Roman"/>
          <w:sz w:val="28"/>
          <w:szCs w:val="28"/>
        </w:rPr>
        <w:t xml:space="preserve"> и открытие в отношении </w:t>
      </w:r>
      <w:r w:rsidR="004B1C7F">
        <w:rPr>
          <w:rFonts w:ascii="Times New Roman" w:hAnsi="Times New Roman" w:cs="Times New Roman"/>
          <w:sz w:val="28"/>
          <w:szCs w:val="28"/>
        </w:rPr>
        <w:t>н</w:t>
      </w:r>
      <w:r w:rsidR="003C372B">
        <w:rPr>
          <w:rFonts w:ascii="Times New Roman" w:hAnsi="Times New Roman" w:cs="Times New Roman"/>
          <w:sz w:val="28"/>
          <w:szCs w:val="28"/>
        </w:rPr>
        <w:t>его</w:t>
      </w:r>
      <w:r w:rsidRPr="00F82559">
        <w:rPr>
          <w:rFonts w:ascii="Times New Roman" w:hAnsi="Times New Roman" w:cs="Times New Roman"/>
          <w:sz w:val="28"/>
          <w:szCs w:val="28"/>
        </w:rPr>
        <w:t xml:space="preserve"> конкурсного производства.</w:t>
      </w:r>
    </w:p>
    <w:p w:rsidR="00A4743A" w:rsidRDefault="00A4743A" w:rsidP="00F82559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D85402" w:rsidRPr="00D85402" w:rsidRDefault="001D07B4" w:rsidP="00D85402">
      <w:pPr>
        <w:pStyle w:val="a3"/>
        <w:numPr>
          <w:ilvl w:val="1"/>
          <w:numId w:val="1"/>
        </w:numPr>
        <w:tabs>
          <w:tab w:val="left" w:pos="426"/>
        </w:tabs>
        <w:spacing w:after="0" w:line="360" w:lineRule="auto"/>
        <w:ind w:left="426"/>
        <w:contextualSpacing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85402">
        <w:rPr>
          <w:rFonts w:ascii="Times New Roman" w:hAnsi="Times New Roman" w:cs="Times New Roman"/>
          <w:b/>
          <w:i/>
          <w:sz w:val="28"/>
          <w:szCs w:val="28"/>
        </w:rPr>
        <w:t>Объем гарантии</w:t>
      </w:r>
    </w:p>
    <w:p w:rsidR="00436727" w:rsidRDefault="00D14717" w:rsidP="00436727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различий в целях использования пенсионных резервов на этапе </w:t>
      </w:r>
      <w:r w:rsidR="003C372B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накопления</w:t>
      </w:r>
      <w:r w:rsidR="003C372B">
        <w:rPr>
          <w:rFonts w:ascii="Times New Roman" w:hAnsi="Times New Roman" w:cs="Times New Roman"/>
          <w:sz w:val="28"/>
          <w:szCs w:val="28"/>
        </w:rPr>
        <w:t xml:space="preserve"> (инвестиционный период)</w:t>
      </w:r>
      <w:r>
        <w:rPr>
          <w:rFonts w:ascii="Times New Roman" w:hAnsi="Times New Roman" w:cs="Times New Roman"/>
          <w:sz w:val="28"/>
          <w:szCs w:val="28"/>
        </w:rPr>
        <w:t xml:space="preserve"> и на этапе выплат</w:t>
      </w:r>
      <w:r w:rsidR="003C372B">
        <w:rPr>
          <w:rFonts w:ascii="Times New Roman" w:hAnsi="Times New Roman" w:cs="Times New Roman"/>
          <w:sz w:val="28"/>
          <w:szCs w:val="28"/>
        </w:rPr>
        <w:t>ы пенсии</w:t>
      </w:r>
      <w:r>
        <w:rPr>
          <w:rFonts w:ascii="Times New Roman" w:hAnsi="Times New Roman" w:cs="Times New Roman"/>
          <w:sz w:val="28"/>
          <w:szCs w:val="28"/>
        </w:rPr>
        <w:t xml:space="preserve">, объем </w:t>
      </w:r>
      <w:r w:rsidR="00436727">
        <w:rPr>
          <w:rFonts w:ascii="Times New Roman" w:hAnsi="Times New Roman" w:cs="Times New Roman"/>
          <w:sz w:val="28"/>
          <w:szCs w:val="28"/>
        </w:rPr>
        <w:t>гарантии</w:t>
      </w:r>
      <w:r w:rsidR="00D85402">
        <w:rPr>
          <w:rFonts w:ascii="Times New Roman" w:hAnsi="Times New Roman" w:cs="Times New Roman"/>
          <w:sz w:val="28"/>
          <w:szCs w:val="28"/>
        </w:rPr>
        <w:t xml:space="preserve"> в СГП НПО</w:t>
      </w:r>
      <w:r w:rsidR="00142F1C">
        <w:rPr>
          <w:rFonts w:ascii="Times New Roman" w:hAnsi="Times New Roman" w:cs="Times New Roman"/>
          <w:sz w:val="28"/>
          <w:szCs w:val="28"/>
        </w:rPr>
        <w:t xml:space="preserve"> предлагается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142F1C">
        <w:rPr>
          <w:rFonts w:ascii="Times New Roman" w:hAnsi="Times New Roman" w:cs="Times New Roman"/>
          <w:sz w:val="28"/>
          <w:szCs w:val="28"/>
        </w:rPr>
        <w:t>установить различным на этапах накопления и выплат</w:t>
      </w:r>
      <w:r w:rsidR="004B1C7F">
        <w:rPr>
          <w:rFonts w:ascii="Times New Roman" w:hAnsi="Times New Roman" w:cs="Times New Roman"/>
          <w:sz w:val="28"/>
          <w:szCs w:val="28"/>
        </w:rPr>
        <w:t>ы пенсии</w:t>
      </w:r>
      <w:r w:rsidR="00142F1C">
        <w:rPr>
          <w:rFonts w:ascii="Times New Roman" w:hAnsi="Times New Roman" w:cs="Times New Roman"/>
          <w:sz w:val="28"/>
          <w:szCs w:val="28"/>
        </w:rPr>
        <w:t xml:space="preserve">, установив </w:t>
      </w:r>
      <w:r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142F1C">
        <w:rPr>
          <w:rFonts w:ascii="Times New Roman" w:hAnsi="Times New Roman" w:cs="Times New Roman"/>
          <w:sz w:val="28"/>
          <w:szCs w:val="28"/>
        </w:rPr>
        <w:t>на каждом этапе предельный объем гарантии</w:t>
      </w:r>
      <w:r w:rsidR="00620260">
        <w:rPr>
          <w:rFonts w:ascii="Times New Roman" w:hAnsi="Times New Roman" w:cs="Times New Roman"/>
          <w:sz w:val="28"/>
          <w:szCs w:val="28"/>
        </w:rPr>
        <w:t>:</w:t>
      </w:r>
    </w:p>
    <w:p w:rsidR="00422AB7" w:rsidRPr="00422AB7" w:rsidRDefault="00436727" w:rsidP="00142F1C">
      <w:pPr>
        <w:pStyle w:val="a3"/>
        <w:numPr>
          <w:ilvl w:val="0"/>
          <w:numId w:val="8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B1C7F">
        <w:rPr>
          <w:rFonts w:ascii="Times New Roman" w:hAnsi="Times New Roman" w:cs="Times New Roman"/>
          <w:b/>
          <w:sz w:val="28"/>
          <w:szCs w:val="28"/>
        </w:rPr>
        <w:t>на этапе накопления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2F1C">
        <w:rPr>
          <w:rFonts w:ascii="Times New Roman" w:hAnsi="Times New Roman" w:cs="Times New Roman"/>
          <w:sz w:val="28"/>
          <w:szCs w:val="28"/>
        </w:rPr>
        <w:t xml:space="preserve">предлагается гарантировать </w:t>
      </w:r>
      <w:r w:rsidR="003C372B">
        <w:rPr>
          <w:rFonts w:ascii="Times New Roman" w:hAnsi="Times New Roman" w:cs="Times New Roman"/>
          <w:sz w:val="28"/>
          <w:szCs w:val="28"/>
        </w:rPr>
        <w:t xml:space="preserve">полный </w:t>
      </w:r>
      <w:r w:rsidR="00142F1C">
        <w:rPr>
          <w:rFonts w:ascii="Times New Roman" w:hAnsi="Times New Roman" w:cs="Times New Roman"/>
          <w:sz w:val="28"/>
          <w:szCs w:val="28"/>
        </w:rPr>
        <w:t>размер</w:t>
      </w:r>
      <w:r>
        <w:rPr>
          <w:rFonts w:ascii="Times New Roman" w:hAnsi="Times New Roman" w:cs="Times New Roman"/>
          <w:sz w:val="28"/>
          <w:szCs w:val="28"/>
        </w:rPr>
        <w:t xml:space="preserve"> взносов, </w:t>
      </w:r>
      <w:r w:rsidR="003C372B">
        <w:rPr>
          <w:rFonts w:ascii="Times New Roman" w:hAnsi="Times New Roman" w:cs="Times New Roman"/>
          <w:sz w:val="28"/>
          <w:szCs w:val="28"/>
        </w:rPr>
        <w:t xml:space="preserve">фактически поступивших в НПФ и </w:t>
      </w:r>
      <w:r>
        <w:rPr>
          <w:rFonts w:ascii="Times New Roman" w:hAnsi="Times New Roman" w:cs="Times New Roman"/>
          <w:sz w:val="28"/>
          <w:szCs w:val="28"/>
        </w:rPr>
        <w:t>учтенных на именном пенсионном счете участника</w:t>
      </w:r>
      <w:r w:rsidR="00422AB7" w:rsidRPr="00422AB7">
        <w:rPr>
          <w:rFonts w:ascii="Times New Roman" w:hAnsi="Times New Roman" w:cs="Times New Roman"/>
          <w:sz w:val="28"/>
          <w:szCs w:val="28"/>
        </w:rPr>
        <w:t xml:space="preserve"> на дату</w:t>
      </w:r>
      <w:r w:rsidR="00A361D4">
        <w:rPr>
          <w:rFonts w:ascii="Times New Roman" w:hAnsi="Times New Roman" w:cs="Times New Roman"/>
          <w:sz w:val="28"/>
          <w:szCs w:val="28"/>
        </w:rPr>
        <w:t xml:space="preserve"> наступления</w:t>
      </w:r>
      <w:r w:rsidR="00422AB7" w:rsidRPr="00422AB7">
        <w:rPr>
          <w:rFonts w:ascii="Times New Roman" w:hAnsi="Times New Roman" w:cs="Times New Roman"/>
          <w:sz w:val="28"/>
          <w:szCs w:val="28"/>
        </w:rPr>
        <w:t xml:space="preserve"> гарантийного случая</w:t>
      </w:r>
      <w:r w:rsidR="00620260">
        <w:rPr>
          <w:rFonts w:ascii="Times New Roman" w:hAnsi="Times New Roman" w:cs="Times New Roman"/>
          <w:sz w:val="28"/>
          <w:szCs w:val="28"/>
        </w:rPr>
        <w:t xml:space="preserve">, но не более </w:t>
      </w:r>
      <w:r w:rsidR="00422AB7">
        <w:rPr>
          <w:rFonts w:ascii="Times New Roman" w:hAnsi="Times New Roman" w:cs="Times New Roman"/>
          <w:sz w:val="28"/>
          <w:szCs w:val="28"/>
        </w:rPr>
        <w:t>1,4 млн </w:t>
      </w:r>
      <w:r w:rsidR="00422AB7" w:rsidRPr="00422AB7">
        <w:rPr>
          <w:rFonts w:ascii="Times New Roman" w:hAnsi="Times New Roman" w:cs="Times New Roman"/>
          <w:sz w:val="28"/>
          <w:szCs w:val="28"/>
        </w:rPr>
        <w:t>рублей</w:t>
      </w:r>
      <w:r w:rsidR="00422AB7">
        <w:rPr>
          <w:rFonts w:ascii="Times New Roman" w:hAnsi="Times New Roman" w:cs="Times New Roman"/>
          <w:sz w:val="28"/>
          <w:szCs w:val="28"/>
        </w:rPr>
        <w:t>;</w:t>
      </w:r>
    </w:p>
    <w:p w:rsidR="00436727" w:rsidRPr="00422AB7" w:rsidRDefault="00422AB7" w:rsidP="00142F1C">
      <w:pPr>
        <w:pStyle w:val="a3"/>
        <w:numPr>
          <w:ilvl w:val="0"/>
          <w:numId w:val="8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B1C7F">
        <w:rPr>
          <w:rFonts w:ascii="Times New Roman" w:hAnsi="Times New Roman" w:cs="Times New Roman"/>
          <w:b/>
          <w:sz w:val="28"/>
          <w:szCs w:val="28"/>
        </w:rPr>
        <w:t>на этапе выплат</w:t>
      </w:r>
      <w:r w:rsidR="00CA2F88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2F88" w:rsidRPr="004B1C7F">
        <w:rPr>
          <w:rFonts w:ascii="Times New Roman" w:hAnsi="Times New Roman" w:cs="Times New Roman"/>
          <w:b/>
          <w:sz w:val="28"/>
          <w:szCs w:val="28"/>
        </w:rPr>
        <w:t>пенсии</w:t>
      </w:r>
      <w:r w:rsidR="00CA2F88">
        <w:rPr>
          <w:rFonts w:ascii="Times New Roman" w:hAnsi="Times New Roman" w:cs="Times New Roman"/>
          <w:sz w:val="28"/>
          <w:szCs w:val="28"/>
        </w:rPr>
        <w:t xml:space="preserve"> </w:t>
      </w:r>
      <w:r w:rsidR="00142F1C">
        <w:rPr>
          <w:rFonts w:ascii="Times New Roman" w:hAnsi="Times New Roman" w:cs="Times New Roman"/>
          <w:sz w:val="28"/>
          <w:szCs w:val="28"/>
        </w:rPr>
        <w:t>предлагается гарантировать выплату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372B">
        <w:rPr>
          <w:rFonts w:ascii="Times New Roman" w:hAnsi="Times New Roman" w:cs="Times New Roman"/>
          <w:sz w:val="28"/>
          <w:szCs w:val="28"/>
        </w:rPr>
        <w:t xml:space="preserve">назначенной </w:t>
      </w:r>
      <w:r w:rsidR="00D14717">
        <w:rPr>
          <w:rFonts w:ascii="Times New Roman" w:hAnsi="Times New Roman" w:cs="Times New Roman"/>
          <w:sz w:val="28"/>
          <w:szCs w:val="28"/>
        </w:rPr>
        <w:t xml:space="preserve">полностью фондируемой </w:t>
      </w:r>
      <w:r>
        <w:rPr>
          <w:rFonts w:ascii="Times New Roman" w:hAnsi="Times New Roman" w:cs="Times New Roman"/>
          <w:sz w:val="28"/>
          <w:szCs w:val="28"/>
        </w:rPr>
        <w:t xml:space="preserve">негосударственной пенсии участника в размере, установленном на дату </w:t>
      </w:r>
      <w:r w:rsidR="00A361D4">
        <w:rPr>
          <w:rFonts w:ascii="Times New Roman" w:hAnsi="Times New Roman" w:cs="Times New Roman"/>
          <w:sz w:val="28"/>
          <w:szCs w:val="28"/>
        </w:rPr>
        <w:t xml:space="preserve">наступления </w:t>
      </w:r>
      <w:r>
        <w:rPr>
          <w:rFonts w:ascii="Times New Roman" w:hAnsi="Times New Roman" w:cs="Times New Roman"/>
          <w:sz w:val="28"/>
          <w:szCs w:val="28"/>
        </w:rPr>
        <w:t xml:space="preserve">гарантийного случая, но не более </w:t>
      </w:r>
      <w:r w:rsidR="009636CC">
        <w:rPr>
          <w:rFonts w:ascii="Times New Roman" w:hAnsi="Times New Roman" w:cs="Times New Roman"/>
          <w:sz w:val="28"/>
          <w:szCs w:val="28"/>
        </w:rPr>
        <w:t>двух</w:t>
      </w:r>
      <w:r>
        <w:rPr>
          <w:rFonts w:ascii="Times New Roman" w:hAnsi="Times New Roman" w:cs="Times New Roman"/>
          <w:sz w:val="28"/>
          <w:szCs w:val="28"/>
        </w:rPr>
        <w:t xml:space="preserve"> размер</w:t>
      </w:r>
      <w:r w:rsidR="009636CC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социальной пенсии</w:t>
      </w:r>
      <w:r w:rsidR="00142F1C">
        <w:rPr>
          <w:rFonts w:ascii="Times New Roman" w:hAnsi="Times New Roman" w:cs="Times New Roman"/>
          <w:sz w:val="28"/>
          <w:szCs w:val="28"/>
        </w:rPr>
        <w:t xml:space="preserve"> по старости</w:t>
      </w:r>
      <w:r w:rsidR="002E2D0F">
        <w:rPr>
          <w:rStyle w:val="aa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2F88" w:rsidRPr="004B1C7F" w:rsidRDefault="00CA2F88" w:rsidP="00D85402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Результаты проведенного исследования существующих пенсионных сбережений в НПО</w:t>
      </w:r>
      <w:r w:rsidRPr="004B1C7F">
        <w:rPr>
          <w:rFonts w:ascii="Times New Roman" w:hAnsi="Times New Roman" w:cs="Times New Roman"/>
          <w:i/>
          <w:sz w:val="28"/>
          <w:szCs w:val="28"/>
        </w:rPr>
        <w:t>:</w:t>
      </w:r>
    </w:p>
    <w:p w:rsidR="00DD3F39" w:rsidRPr="004B1C7F" w:rsidRDefault="00CA2F88" w:rsidP="00D85402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В</w:t>
      </w:r>
      <w:r w:rsidR="00010C39" w:rsidRPr="004B1C7F">
        <w:rPr>
          <w:rFonts w:ascii="Times New Roman" w:hAnsi="Times New Roman" w:cs="Times New Roman"/>
          <w:i/>
          <w:sz w:val="28"/>
          <w:szCs w:val="28"/>
        </w:rPr>
        <w:t xml:space="preserve"> настоящее время </w:t>
      </w:r>
      <w:r w:rsidR="00DD3F39" w:rsidRPr="004B1C7F">
        <w:rPr>
          <w:rFonts w:ascii="Times New Roman" w:hAnsi="Times New Roman" w:cs="Times New Roman"/>
          <w:i/>
          <w:sz w:val="28"/>
          <w:szCs w:val="28"/>
        </w:rPr>
        <w:t xml:space="preserve">ограничение гарантируемого размера взносов </w:t>
      </w:r>
      <w:r w:rsidR="00010C39" w:rsidRPr="004B1C7F">
        <w:rPr>
          <w:rFonts w:ascii="Times New Roman" w:hAnsi="Times New Roman" w:cs="Times New Roman"/>
          <w:i/>
          <w:sz w:val="28"/>
          <w:szCs w:val="28"/>
        </w:rPr>
        <w:t xml:space="preserve">величиной </w:t>
      </w:r>
      <w:r w:rsidR="00DD3F39" w:rsidRPr="004B1C7F">
        <w:rPr>
          <w:rFonts w:ascii="Times New Roman" w:hAnsi="Times New Roman" w:cs="Times New Roman"/>
          <w:i/>
          <w:sz w:val="28"/>
          <w:szCs w:val="28"/>
        </w:rPr>
        <w:t>1,4 млн рублей</w:t>
      </w:r>
      <w:r w:rsidR="003C372B" w:rsidRPr="004B1C7F">
        <w:rPr>
          <w:rFonts w:ascii="Times New Roman" w:hAnsi="Times New Roman" w:cs="Times New Roman"/>
          <w:i/>
          <w:sz w:val="28"/>
          <w:szCs w:val="28"/>
        </w:rPr>
        <w:t xml:space="preserve"> на этапе накопления</w:t>
      </w:r>
      <w:r w:rsidR="00DD3F39" w:rsidRPr="004B1C7F">
        <w:rPr>
          <w:rFonts w:ascii="Times New Roman" w:hAnsi="Times New Roman" w:cs="Times New Roman"/>
          <w:i/>
          <w:sz w:val="28"/>
          <w:szCs w:val="28"/>
        </w:rPr>
        <w:t xml:space="preserve"> позволит обеспечить гарантией в полном объеме взносы 99,6% участников</w:t>
      </w:r>
      <w:r w:rsidR="00E27F3B" w:rsidRPr="004B1C7F">
        <w:rPr>
          <w:rFonts w:ascii="Times New Roman" w:hAnsi="Times New Roman" w:cs="Times New Roman"/>
          <w:i/>
          <w:sz w:val="28"/>
          <w:szCs w:val="28"/>
        </w:rPr>
        <w:t xml:space="preserve"> НПФ</w:t>
      </w:r>
      <w:r w:rsidR="00DD3F39" w:rsidRPr="004B1C7F">
        <w:rPr>
          <w:rFonts w:ascii="Times New Roman" w:hAnsi="Times New Roman" w:cs="Times New Roman"/>
          <w:i/>
          <w:sz w:val="28"/>
          <w:szCs w:val="28"/>
        </w:rPr>
        <w:t>. При этом доля взносов, обеспеченных гарантией, составит 89,7% от общего объема взносов по НПО или 70</w:t>
      </w:r>
      <w:r w:rsidR="004B1C7F">
        <w:rPr>
          <w:rFonts w:ascii="Times New Roman" w:hAnsi="Times New Roman" w:cs="Times New Roman"/>
          <w:i/>
          <w:sz w:val="28"/>
          <w:szCs w:val="28"/>
        </w:rPr>
        <w:t>,0</w:t>
      </w:r>
      <w:r w:rsidR="00DD3F39" w:rsidRPr="004B1C7F">
        <w:rPr>
          <w:rFonts w:ascii="Times New Roman" w:hAnsi="Times New Roman" w:cs="Times New Roman"/>
          <w:i/>
          <w:sz w:val="28"/>
          <w:szCs w:val="28"/>
        </w:rPr>
        <w:t>% от общей суммы остатков на именных пенсионных счетах</w:t>
      </w:r>
      <w:r w:rsidR="00315E64" w:rsidRPr="004B1C7F">
        <w:rPr>
          <w:rFonts w:ascii="Times New Roman" w:hAnsi="Times New Roman" w:cs="Times New Roman"/>
          <w:i/>
          <w:sz w:val="28"/>
          <w:szCs w:val="28"/>
        </w:rPr>
        <w:t xml:space="preserve"> участников</w:t>
      </w:r>
      <w:r w:rsidR="00DD3F39" w:rsidRPr="004B1C7F">
        <w:rPr>
          <w:rFonts w:ascii="Times New Roman" w:hAnsi="Times New Roman" w:cs="Times New Roman"/>
          <w:i/>
          <w:sz w:val="28"/>
          <w:szCs w:val="28"/>
        </w:rPr>
        <w:t xml:space="preserve"> на этапе накоплений.</w:t>
      </w:r>
    </w:p>
    <w:p w:rsidR="00DD3F39" w:rsidRPr="004B1C7F" w:rsidRDefault="00DD3F39" w:rsidP="00DD3F39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1C7F">
        <w:rPr>
          <w:rFonts w:ascii="Times New Roman" w:hAnsi="Times New Roman" w:cs="Times New Roman"/>
          <w:i/>
          <w:sz w:val="28"/>
          <w:szCs w:val="28"/>
        </w:rPr>
        <w:t xml:space="preserve">На этапе выплат ограничение гарантируемого размера пенсии удвоенным размером социальной пенсии по старости позволит обеспечить гарантией в полном объеме выплату негосударственной пенсии </w:t>
      </w:r>
      <w:r w:rsidR="004B1C7F" w:rsidRPr="004B1C7F">
        <w:rPr>
          <w:rFonts w:ascii="Times New Roman" w:hAnsi="Times New Roman" w:cs="Times New Roman"/>
          <w:i/>
          <w:sz w:val="28"/>
          <w:szCs w:val="28"/>
        </w:rPr>
        <w:t>9</w:t>
      </w:r>
      <w:r w:rsidR="004B1C7F">
        <w:rPr>
          <w:rFonts w:ascii="Times New Roman" w:hAnsi="Times New Roman" w:cs="Times New Roman"/>
          <w:i/>
          <w:sz w:val="28"/>
          <w:szCs w:val="28"/>
        </w:rPr>
        <w:t>2</w:t>
      </w:r>
      <w:r w:rsidRPr="004B1C7F">
        <w:rPr>
          <w:rFonts w:ascii="Times New Roman" w:hAnsi="Times New Roman" w:cs="Times New Roman"/>
          <w:i/>
          <w:sz w:val="28"/>
          <w:szCs w:val="28"/>
        </w:rPr>
        <w:t>,</w:t>
      </w:r>
      <w:r w:rsidR="004B1C7F">
        <w:rPr>
          <w:rFonts w:ascii="Times New Roman" w:hAnsi="Times New Roman" w:cs="Times New Roman"/>
          <w:i/>
          <w:sz w:val="28"/>
          <w:szCs w:val="28"/>
        </w:rPr>
        <w:t>5</w:t>
      </w:r>
      <w:r w:rsidRPr="004B1C7F">
        <w:rPr>
          <w:rFonts w:ascii="Times New Roman" w:hAnsi="Times New Roman" w:cs="Times New Roman"/>
          <w:i/>
          <w:sz w:val="28"/>
          <w:szCs w:val="28"/>
        </w:rPr>
        <w:t xml:space="preserve">% </w:t>
      </w:r>
      <w:r w:rsidR="00010C39" w:rsidRPr="004B1C7F">
        <w:rPr>
          <w:rFonts w:ascii="Times New Roman" w:hAnsi="Times New Roman" w:cs="Times New Roman"/>
          <w:i/>
          <w:sz w:val="28"/>
          <w:szCs w:val="28"/>
        </w:rPr>
        <w:t xml:space="preserve">сегодняшних получателей </w:t>
      </w:r>
      <w:r w:rsidR="00E27F3B" w:rsidRPr="004B1C7F">
        <w:rPr>
          <w:rFonts w:ascii="Times New Roman" w:hAnsi="Times New Roman" w:cs="Times New Roman"/>
          <w:i/>
          <w:sz w:val="28"/>
          <w:szCs w:val="28"/>
        </w:rPr>
        <w:t xml:space="preserve">такой </w:t>
      </w:r>
      <w:r w:rsidR="00010C39" w:rsidRPr="004B1C7F">
        <w:rPr>
          <w:rFonts w:ascii="Times New Roman" w:hAnsi="Times New Roman" w:cs="Times New Roman"/>
          <w:i/>
          <w:sz w:val="28"/>
          <w:szCs w:val="28"/>
        </w:rPr>
        <w:t>пенсии</w:t>
      </w:r>
      <w:r w:rsidRPr="004B1C7F">
        <w:rPr>
          <w:rFonts w:ascii="Times New Roman" w:hAnsi="Times New Roman" w:cs="Times New Roman"/>
          <w:i/>
          <w:sz w:val="28"/>
          <w:szCs w:val="28"/>
        </w:rPr>
        <w:t xml:space="preserve">. При этом доля </w:t>
      </w:r>
      <w:r w:rsidR="000224A0" w:rsidRPr="004B1C7F">
        <w:rPr>
          <w:rFonts w:ascii="Times New Roman" w:hAnsi="Times New Roman" w:cs="Times New Roman"/>
          <w:i/>
          <w:sz w:val="28"/>
          <w:szCs w:val="28"/>
        </w:rPr>
        <w:t xml:space="preserve">выплат </w:t>
      </w:r>
      <w:r w:rsidRPr="004B1C7F">
        <w:rPr>
          <w:rFonts w:ascii="Times New Roman" w:hAnsi="Times New Roman" w:cs="Times New Roman"/>
          <w:i/>
          <w:sz w:val="28"/>
          <w:szCs w:val="28"/>
        </w:rPr>
        <w:t>пенсий, обеспеченных гарантией, составит 78,</w:t>
      </w:r>
      <w:r w:rsidR="004B1C7F">
        <w:rPr>
          <w:rFonts w:ascii="Times New Roman" w:hAnsi="Times New Roman" w:cs="Times New Roman"/>
          <w:i/>
          <w:sz w:val="28"/>
          <w:szCs w:val="28"/>
        </w:rPr>
        <w:t>2</w:t>
      </w:r>
      <w:r w:rsidRPr="004B1C7F">
        <w:rPr>
          <w:rFonts w:ascii="Times New Roman" w:hAnsi="Times New Roman" w:cs="Times New Roman"/>
          <w:i/>
          <w:sz w:val="28"/>
          <w:szCs w:val="28"/>
        </w:rPr>
        <w:t xml:space="preserve">% от общего объема </w:t>
      </w:r>
      <w:r w:rsidR="000224A0" w:rsidRPr="004B1C7F">
        <w:rPr>
          <w:rFonts w:ascii="Times New Roman" w:hAnsi="Times New Roman" w:cs="Times New Roman"/>
          <w:i/>
          <w:sz w:val="28"/>
          <w:szCs w:val="28"/>
        </w:rPr>
        <w:t xml:space="preserve">выплат уже </w:t>
      </w:r>
      <w:r w:rsidRPr="004B1C7F">
        <w:rPr>
          <w:rFonts w:ascii="Times New Roman" w:hAnsi="Times New Roman" w:cs="Times New Roman"/>
          <w:i/>
          <w:sz w:val="28"/>
          <w:szCs w:val="28"/>
        </w:rPr>
        <w:t>назначенных негосударственных пенсий.</w:t>
      </w:r>
    </w:p>
    <w:p w:rsidR="00AD7DB1" w:rsidRPr="00385F82" w:rsidRDefault="00CF1996" w:rsidP="00385F82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Одновременно в</w:t>
      </w:r>
      <w:r w:rsidR="00AD7DB1">
        <w:rPr>
          <w:rFonts w:ascii="Times New Roman" w:hAnsi="Times New Roman" w:cs="Times New Roman"/>
          <w:sz w:val="28"/>
          <w:szCs w:val="28"/>
        </w:rPr>
        <w:t xml:space="preserve">ведение гарантирования </w:t>
      </w:r>
      <w:r w:rsidR="00AD7DB1" w:rsidRPr="00AD7DB1">
        <w:rPr>
          <w:rFonts w:ascii="Times New Roman" w:hAnsi="Times New Roman" w:cs="Times New Roman"/>
          <w:sz w:val="28"/>
          <w:szCs w:val="28"/>
        </w:rPr>
        <w:t>взносов</w:t>
      </w:r>
      <w:r w:rsidR="00CA2F88">
        <w:rPr>
          <w:rFonts w:ascii="Times New Roman" w:hAnsi="Times New Roman" w:cs="Times New Roman"/>
          <w:sz w:val="28"/>
          <w:szCs w:val="28"/>
        </w:rPr>
        <w:t xml:space="preserve"> </w:t>
      </w:r>
      <w:r w:rsidR="00385F82">
        <w:rPr>
          <w:rFonts w:ascii="Times New Roman" w:hAnsi="Times New Roman" w:cs="Times New Roman"/>
          <w:sz w:val="28"/>
          <w:szCs w:val="28"/>
        </w:rPr>
        <w:t>на этапе накопления</w:t>
      </w:r>
      <w:r w:rsidR="00AD7DB1">
        <w:rPr>
          <w:rFonts w:ascii="Times New Roman" w:hAnsi="Times New Roman" w:cs="Times New Roman"/>
          <w:sz w:val="28"/>
          <w:szCs w:val="28"/>
        </w:rPr>
        <w:t xml:space="preserve"> </w:t>
      </w:r>
      <w:r w:rsidR="00CA2F88">
        <w:rPr>
          <w:rFonts w:ascii="Times New Roman" w:hAnsi="Times New Roman" w:cs="Times New Roman"/>
          <w:sz w:val="28"/>
          <w:szCs w:val="28"/>
        </w:rPr>
        <w:t>в целях</w:t>
      </w:r>
      <w:r>
        <w:rPr>
          <w:rFonts w:ascii="Times New Roman" w:hAnsi="Times New Roman" w:cs="Times New Roman"/>
          <w:sz w:val="28"/>
          <w:szCs w:val="28"/>
        </w:rPr>
        <w:t xml:space="preserve"> обеспечения сбалансированности системы гарантирования и обращения к ней только в ситуации невозможности выполнения </w:t>
      </w:r>
      <w:r w:rsidR="00CA2F88">
        <w:rPr>
          <w:rFonts w:ascii="Times New Roman" w:hAnsi="Times New Roman" w:cs="Times New Roman"/>
          <w:sz w:val="28"/>
          <w:szCs w:val="28"/>
        </w:rPr>
        <w:t xml:space="preserve">самим </w:t>
      </w:r>
      <w:r>
        <w:rPr>
          <w:rFonts w:ascii="Times New Roman" w:hAnsi="Times New Roman" w:cs="Times New Roman"/>
          <w:sz w:val="28"/>
          <w:szCs w:val="28"/>
        </w:rPr>
        <w:t xml:space="preserve">НПФ своих обязательств </w:t>
      </w:r>
      <w:r w:rsidR="00AD7DB1">
        <w:rPr>
          <w:rFonts w:ascii="Times New Roman" w:hAnsi="Times New Roman" w:cs="Times New Roman"/>
          <w:sz w:val="28"/>
          <w:szCs w:val="28"/>
        </w:rPr>
        <w:t>потребует введения</w:t>
      </w:r>
      <w:r w:rsidR="00385F82">
        <w:rPr>
          <w:rFonts w:ascii="Times New Roman" w:hAnsi="Times New Roman" w:cs="Times New Roman"/>
          <w:sz w:val="28"/>
          <w:szCs w:val="28"/>
        </w:rPr>
        <w:t xml:space="preserve"> </w:t>
      </w:r>
      <w:r w:rsidR="00CA2F88">
        <w:rPr>
          <w:rFonts w:ascii="Times New Roman" w:hAnsi="Times New Roman" w:cs="Times New Roman"/>
          <w:sz w:val="28"/>
          <w:szCs w:val="28"/>
        </w:rPr>
        <w:t xml:space="preserve">на законодательном уровне </w:t>
      </w:r>
      <w:r w:rsidR="00385F82">
        <w:rPr>
          <w:rFonts w:ascii="Times New Roman" w:hAnsi="Times New Roman" w:cs="Times New Roman"/>
          <w:sz w:val="28"/>
          <w:szCs w:val="28"/>
        </w:rPr>
        <w:t xml:space="preserve">симметричной обязанности </w:t>
      </w:r>
      <w:r w:rsidR="00AD7DB1">
        <w:rPr>
          <w:rFonts w:ascii="Times New Roman" w:hAnsi="Times New Roman" w:cs="Times New Roman"/>
          <w:sz w:val="28"/>
          <w:szCs w:val="28"/>
        </w:rPr>
        <w:t xml:space="preserve">НПФ компенсировать участникам полученные в ходе размещения пенсионных резервов убытки </w:t>
      </w:r>
      <w:r w:rsidR="00385F82">
        <w:rPr>
          <w:rFonts w:ascii="Times New Roman" w:hAnsi="Times New Roman" w:cs="Times New Roman"/>
          <w:sz w:val="28"/>
          <w:szCs w:val="28"/>
        </w:rPr>
        <w:t xml:space="preserve">в пределах, достаточных для обеспечения номинальной безубыточности </w:t>
      </w:r>
      <w:r w:rsidR="00385F82" w:rsidRPr="00385F82">
        <w:rPr>
          <w:rFonts w:ascii="Times New Roman" w:hAnsi="Times New Roman" w:cs="Times New Roman"/>
          <w:sz w:val="28"/>
          <w:szCs w:val="28"/>
        </w:rPr>
        <w:t>взносов, учтенных на именном пенсионном счете участника</w:t>
      </w:r>
      <w:r w:rsidR="00385F82">
        <w:rPr>
          <w:rFonts w:ascii="Times New Roman" w:hAnsi="Times New Roman" w:cs="Times New Roman"/>
          <w:sz w:val="28"/>
          <w:szCs w:val="28"/>
        </w:rPr>
        <w:t>.</w:t>
      </w:r>
    </w:p>
    <w:p w:rsidR="00A4743A" w:rsidRPr="00D85402" w:rsidRDefault="00A4743A" w:rsidP="00D85402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2B56FD" w:rsidRPr="00142F1C" w:rsidRDefault="001D07B4" w:rsidP="00DA2C70">
      <w:pPr>
        <w:pStyle w:val="a3"/>
        <w:numPr>
          <w:ilvl w:val="1"/>
          <w:numId w:val="1"/>
        </w:numPr>
        <w:tabs>
          <w:tab w:val="left" w:pos="426"/>
        </w:tabs>
        <w:spacing w:after="0" w:line="360" w:lineRule="auto"/>
        <w:ind w:left="0" w:firstLine="0"/>
        <w:contextualSpacing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B3F73" w:rsidRPr="00142F1C">
        <w:rPr>
          <w:rFonts w:ascii="Times New Roman" w:hAnsi="Times New Roman" w:cs="Times New Roman"/>
          <w:b/>
          <w:i/>
          <w:sz w:val="28"/>
          <w:szCs w:val="28"/>
        </w:rPr>
        <w:t xml:space="preserve">Выплата </w:t>
      </w:r>
      <w:r w:rsidR="00A361D4">
        <w:rPr>
          <w:rFonts w:ascii="Times New Roman" w:hAnsi="Times New Roman" w:cs="Times New Roman"/>
          <w:b/>
          <w:i/>
          <w:sz w:val="28"/>
          <w:szCs w:val="28"/>
        </w:rPr>
        <w:t xml:space="preserve">гарантийного </w:t>
      </w:r>
      <w:r w:rsidR="002B3F73" w:rsidRPr="00142F1C">
        <w:rPr>
          <w:rFonts w:ascii="Times New Roman" w:hAnsi="Times New Roman" w:cs="Times New Roman"/>
          <w:b/>
          <w:i/>
          <w:sz w:val="28"/>
          <w:szCs w:val="28"/>
        </w:rPr>
        <w:t>возмещения</w:t>
      </w:r>
    </w:p>
    <w:p w:rsidR="00CF4B87" w:rsidRDefault="00A361D4" w:rsidP="00A361D4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Механизм выплаты гарантийного возмещения в СГП НПО предлагается </w:t>
      </w:r>
      <w:r w:rsidR="006C205B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 xml:space="preserve">установить различным </w:t>
      </w:r>
      <w:r w:rsidRPr="00A361D4">
        <w:rPr>
          <w:rFonts w:ascii="Times New Roman" w:hAnsi="Times New Roman" w:cs="Times New Roman"/>
          <w:sz w:val="28"/>
          <w:szCs w:val="28"/>
        </w:rPr>
        <w:t>на этапах накопления и выплат</w:t>
      </w:r>
      <w:r w:rsidR="00D14717">
        <w:rPr>
          <w:rFonts w:ascii="Times New Roman" w:hAnsi="Times New Roman" w:cs="Times New Roman"/>
          <w:sz w:val="28"/>
          <w:szCs w:val="28"/>
        </w:rPr>
        <w:t>, с учетом различий в объеме гарантии.</w:t>
      </w:r>
    </w:p>
    <w:p w:rsidR="00A361D4" w:rsidRDefault="00A361D4" w:rsidP="00A361D4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B1C7F">
        <w:rPr>
          <w:rFonts w:ascii="Times New Roman" w:hAnsi="Times New Roman" w:cs="Times New Roman"/>
          <w:b/>
          <w:sz w:val="28"/>
          <w:szCs w:val="28"/>
        </w:rPr>
        <w:t>На этапе накопления</w:t>
      </w:r>
      <w:r>
        <w:rPr>
          <w:rFonts w:ascii="Times New Roman" w:hAnsi="Times New Roman" w:cs="Times New Roman"/>
          <w:sz w:val="28"/>
          <w:szCs w:val="28"/>
        </w:rPr>
        <w:t>, с учетом особенностей корпоративных пенсионных программ и индивидуальных пенсионных планов, предлагается установить следующий порядок выплаты гарантийного возмещения:</w:t>
      </w:r>
    </w:p>
    <w:p w:rsidR="00A361D4" w:rsidRDefault="00A361D4" w:rsidP="009636CC">
      <w:pPr>
        <w:pStyle w:val="a3"/>
        <w:numPr>
          <w:ilvl w:val="0"/>
          <w:numId w:val="11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в договоре НПО указано лицо, уполномоченное на принятие решения о выплате гарантийного возмещения в другой НПФ</w:t>
      </w:r>
      <w:r w:rsidR="005E2D5D">
        <w:rPr>
          <w:rFonts w:ascii="Times New Roman" w:hAnsi="Times New Roman" w:cs="Times New Roman"/>
          <w:sz w:val="28"/>
          <w:szCs w:val="28"/>
        </w:rPr>
        <w:t xml:space="preserve"> (к примеру, работодатель участника в случае корпоративной пенсионной программы)</w:t>
      </w:r>
      <w:r>
        <w:rPr>
          <w:rFonts w:ascii="Times New Roman" w:hAnsi="Times New Roman" w:cs="Times New Roman"/>
          <w:sz w:val="28"/>
          <w:szCs w:val="28"/>
        </w:rPr>
        <w:t>, такое уполномоченное лицо вправе в течение 6 месяцев с даты наступления гарантийного случая</w:t>
      </w:r>
      <w:r w:rsidR="005E2D5D">
        <w:rPr>
          <w:rFonts w:ascii="Times New Roman" w:hAnsi="Times New Roman" w:cs="Times New Roman"/>
          <w:sz w:val="28"/>
          <w:szCs w:val="28"/>
        </w:rPr>
        <w:t xml:space="preserve"> заключить новый договор НПО с новым НПФ в пользу участника и подать в АСВ заявление о выплате гарантийного возмещения в новый НПФ в качестве взноса по такому новому заключенному договору. АСВ в течение месяца рассматривает заявление и осуществляет выплату гарантийного возмещения</w:t>
      </w:r>
      <w:r w:rsidR="009636CC" w:rsidRPr="009636CC">
        <w:t xml:space="preserve"> </w:t>
      </w:r>
      <w:r w:rsidR="009636CC" w:rsidRPr="009636CC">
        <w:rPr>
          <w:rFonts w:ascii="Times New Roman" w:hAnsi="Times New Roman" w:cs="Times New Roman"/>
          <w:sz w:val="28"/>
          <w:szCs w:val="28"/>
        </w:rPr>
        <w:t>в новый НПФ</w:t>
      </w:r>
      <w:r w:rsidR="005E2D5D" w:rsidRPr="009636CC">
        <w:rPr>
          <w:rFonts w:ascii="Times New Roman" w:hAnsi="Times New Roman" w:cs="Times New Roman"/>
          <w:sz w:val="28"/>
          <w:szCs w:val="28"/>
        </w:rPr>
        <w:t>.</w:t>
      </w:r>
    </w:p>
    <w:p w:rsidR="005E2D5D" w:rsidRPr="005E2D5D" w:rsidRDefault="005E2D5D" w:rsidP="005E2D5D">
      <w:pPr>
        <w:pStyle w:val="a3"/>
        <w:numPr>
          <w:ilvl w:val="0"/>
          <w:numId w:val="11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в договоре НПО не указано лицо, уполномоченное на принятие решения о выплате гарантийного возмещения в другой НПФ</w:t>
      </w:r>
      <w:r w:rsidR="00D14717">
        <w:rPr>
          <w:rFonts w:ascii="Times New Roman" w:hAnsi="Times New Roman" w:cs="Times New Roman"/>
          <w:sz w:val="28"/>
          <w:szCs w:val="28"/>
        </w:rPr>
        <w:t xml:space="preserve"> (например, в случае индивидуального пенсионного плана)</w:t>
      </w:r>
      <w:r>
        <w:rPr>
          <w:rFonts w:ascii="Times New Roman" w:hAnsi="Times New Roman" w:cs="Times New Roman"/>
          <w:sz w:val="28"/>
          <w:szCs w:val="28"/>
        </w:rPr>
        <w:t>, или такое уполномоченное лицо в течение 6 месяцев</w:t>
      </w:r>
      <w:r w:rsidRPr="005E2D5D">
        <w:t xml:space="preserve"> </w:t>
      </w:r>
      <w:r w:rsidRPr="005E2D5D">
        <w:rPr>
          <w:rFonts w:ascii="Times New Roman" w:hAnsi="Times New Roman" w:cs="Times New Roman"/>
          <w:sz w:val="28"/>
          <w:szCs w:val="28"/>
        </w:rPr>
        <w:t>с даты наступления гарантийного случая</w:t>
      </w:r>
      <w:r>
        <w:rPr>
          <w:rFonts w:ascii="Times New Roman" w:hAnsi="Times New Roman" w:cs="Times New Roman"/>
          <w:sz w:val="28"/>
          <w:szCs w:val="28"/>
        </w:rPr>
        <w:t xml:space="preserve"> не заключило новый договор НПО или не подало заявление в АСВ, выплата гарантийного возмещения осуществляется АСВ на банковский счет</w:t>
      </w:r>
      <w:r w:rsidR="00CA2F88">
        <w:rPr>
          <w:rFonts w:ascii="Times New Roman" w:hAnsi="Times New Roman" w:cs="Times New Roman"/>
          <w:sz w:val="28"/>
          <w:szCs w:val="28"/>
        </w:rPr>
        <w:t xml:space="preserve"> самого</w:t>
      </w:r>
      <w:r>
        <w:rPr>
          <w:rFonts w:ascii="Times New Roman" w:hAnsi="Times New Roman" w:cs="Times New Roman"/>
          <w:sz w:val="28"/>
          <w:szCs w:val="28"/>
        </w:rPr>
        <w:t xml:space="preserve"> участника в течении месяца с даты подачи участником в АСВ заявления о выплате гарантийного возмещения.</w:t>
      </w:r>
    </w:p>
    <w:p w:rsidR="00CF4B87" w:rsidRDefault="00E944BA" w:rsidP="00E944BA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B1C7F">
        <w:rPr>
          <w:rFonts w:ascii="Times New Roman" w:hAnsi="Times New Roman" w:cs="Times New Roman"/>
          <w:b/>
          <w:sz w:val="28"/>
          <w:szCs w:val="28"/>
        </w:rPr>
        <w:t xml:space="preserve">На этапе </w:t>
      </w:r>
      <w:r w:rsidR="00CA2F88" w:rsidRPr="004B1C7F">
        <w:rPr>
          <w:rFonts w:ascii="Times New Roman" w:hAnsi="Times New Roman" w:cs="Times New Roman"/>
          <w:b/>
          <w:sz w:val="28"/>
          <w:szCs w:val="28"/>
        </w:rPr>
        <w:t>выплаты пенсии</w:t>
      </w:r>
      <w:r w:rsidR="00CA2F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предлагается установить, что выплата гарантийного возмещения в объеме</w:t>
      </w:r>
      <w:r w:rsidR="00CA2F8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достаточном для продолжения выплаты</w:t>
      </w:r>
      <w:r w:rsidR="00CA2F88">
        <w:rPr>
          <w:rFonts w:ascii="Times New Roman" w:hAnsi="Times New Roman" w:cs="Times New Roman"/>
          <w:sz w:val="28"/>
          <w:szCs w:val="28"/>
        </w:rPr>
        <w:t xml:space="preserve"> назначенной</w:t>
      </w:r>
      <w:r>
        <w:rPr>
          <w:rFonts w:ascii="Times New Roman" w:hAnsi="Times New Roman" w:cs="Times New Roman"/>
          <w:sz w:val="28"/>
          <w:szCs w:val="28"/>
        </w:rPr>
        <w:t xml:space="preserve"> негосударственной пенсии в </w:t>
      </w:r>
      <w:r w:rsidR="00CA2F88">
        <w:rPr>
          <w:rFonts w:ascii="Times New Roman" w:hAnsi="Times New Roman" w:cs="Times New Roman"/>
          <w:sz w:val="28"/>
          <w:szCs w:val="28"/>
        </w:rPr>
        <w:t xml:space="preserve">пределах гарантируемого </w:t>
      </w:r>
      <w:r>
        <w:rPr>
          <w:rFonts w:ascii="Times New Roman" w:hAnsi="Times New Roman" w:cs="Times New Roman"/>
          <w:sz w:val="28"/>
          <w:szCs w:val="28"/>
        </w:rPr>
        <w:t>объем</w:t>
      </w:r>
      <w:r w:rsidR="00CA2F8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осуществляется путем перечисления АСВ гарантийного возмещения в</w:t>
      </w:r>
      <w:r w:rsidR="00CA2F88">
        <w:rPr>
          <w:rFonts w:ascii="Times New Roman" w:hAnsi="Times New Roman" w:cs="Times New Roman"/>
          <w:sz w:val="28"/>
          <w:szCs w:val="28"/>
        </w:rPr>
        <w:t xml:space="preserve"> другой</w:t>
      </w:r>
      <w:r>
        <w:rPr>
          <w:rFonts w:ascii="Times New Roman" w:hAnsi="Times New Roman" w:cs="Times New Roman"/>
          <w:sz w:val="28"/>
          <w:szCs w:val="28"/>
        </w:rPr>
        <w:t xml:space="preserve"> НПФ, определённый АСВ на конкурс</w:t>
      </w:r>
      <w:r w:rsidR="00201B5D">
        <w:rPr>
          <w:rFonts w:ascii="Times New Roman" w:hAnsi="Times New Roman" w:cs="Times New Roman"/>
          <w:sz w:val="28"/>
          <w:szCs w:val="28"/>
        </w:rPr>
        <w:t>ной основе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14717">
        <w:rPr>
          <w:rFonts w:ascii="Times New Roman" w:hAnsi="Times New Roman" w:cs="Times New Roman"/>
          <w:sz w:val="28"/>
          <w:szCs w:val="28"/>
        </w:rPr>
        <w:t>без заявления участника.</w:t>
      </w:r>
    </w:p>
    <w:p w:rsidR="00AD7DB1" w:rsidRDefault="00AD7DB1" w:rsidP="00E944BA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после выплаты гарантийного возмещения АСВ становится кредитором первой очереди НПФ, в отношении которого произошел гарантийный случай, по аналогии с системой гарантирования прав застрахованных лиц в системе ОПС.</w:t>
      </w:r>
    </w:p>
    <w:p w:rsidR="00A4743A" w:rsidRPr="00E944BA" w:rsidRDefault="00A4743A" w:rsidP="00E944BA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2B56FD" w:rsidRPr="00557830" w:rsidRDefault="001D07B4" w:rsidP="00DA2C70">
      <w:pPr>
        <w:pStyle w:val="a3"/>
        <w:numPr>
          <w:ilvl w:val="1"/>
          <w:numId w:val="1"/>
        </w:numPr>
        <w:tabs>
          <w:tab w:val="left" w:pos="426"/>
        </w:tabs>
        <w:spacing w:after="0" w:line="360" w:lineRule="auto"/>
        <w:ind w:left="0" w:firstLine="0"/>
        <w:contextualSpacing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B0F9C">
        <w:rPr>
          <w:rFonts w:ascii="Times New Roman" w:hAnsi="Times New Roman" w:cs="Times New Roman"/>
          <w:b/>
          <w:i/>
          <w:sz w:val="28"/>
          <w:szCs w:val="28"/>
        </w:rPr>
        <w:t>Фонд гарантирования НПО</w:t>
      </w:r>
    </w:p>
    <w:p w:rsidR="00E944BA" w:rsidRPr="00E944BA" w:rsidRDefault="00D96BF2" w:rsidP="00E944BA">
      <w:pPr>
        <w:pStyle w:val="a3"/>
        <w:tabs>
          <w:tab w:val="left" w:pos="426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аналогии с системой гарантирования прав застрахованных лиц в системе ОПС гарантийное </w:t>
      </w:r>
      <w:r w:rsidR="00E944BA">
        <w:rPr>
          <w:rFonts w:ascii="Times New Roman" w:hAnsi="Times New Roman" w:cs="Times New Roman"/>
          <w:sz w:val="28"/>
          <w:szCs w:val="28"/>
        </w:rPr>
        <w:t xml:space="preserve">возмещение в СГП НПО выплачивается за счет фонда гарантирования НПО, </w:t>
      </w:r>
      <w:r>
        <w:rPr>
          <w:rFonts w:ascii="Times New Roman" w:hAnsi="Times New Roman" w:cs="Times New Roman"/>
          <w:sz w:val="28"/>
          <w:szCs w:val="28"/>
        </w:rPr>
        <w:t xml:space="preserve">администрируемого АСВ и </w:t>
      </w:r>
      <w:r w:rsidR="00E944BA">
        <w:rPr>
          <w:rFonts w:ascii="Times New Roman" w:hAnsi="Times New Roman" w:cs="Times New Roman"/>
          <w:sz w:val="28"/>
          <w:szCs w:val="28"/>
        </w:rPr>
        <w:t xml:space="preserve">формируемого из ежегодных </w:t>
      </w:r>
      <w:r w:rsidR="00AB107B">
        <w:rPr>
          <w:rFonts w:ascii="Times New Roman" w:hAnsi="Times New Roman" w:cs="Times New Roman"/>
          <w:sz w:val="28"/>
          <w:szCs w:val="28"/>
        </w:rPr>
        <w:t xml:space="preserve">гарантийных </w:t>
      </w:r>
      <w:r w:rsidR="00E944BA">
        <w:rPr>
          <w:rFonts w:ascii="Times New Roman" w:hAnsi="Times New Roman" w:cs="Times New Roman"/>
          <w:sz w:val="28"/>
          <w:szCs w:val="28"/>
        </w:rPr>
        <w:t>взносов НПФ</w:t>
      </w:r>
      <w:r>
        <w:rPr>
          <w:rFonts w:ascii="Times New Roman" w:hAnsi="Times New Roman" w:cs="Times New Roman"/>
          <w:sz w:val="28"/>
          <w:szCs w:val="28"/>
        </w:rPr>
        <w:t>-</w:t>
      </w:r>
      <w:r w:rsidR="00E944BA">
        <w:rPr>
          <w:rFonts w:ascii="Times New Roman" w:hAnsi="Times New Roman" w:cs="Times New Roman"/>
          <w:sz w:val="28"/>
          <w:szCs w:val="28"/>
        </w:rPr>
        <w:t>участников СГП НПО.</w:t>
      </w:r>
    </w:p>
    <w:p w:rsidR="00E944BA" w:rsidRDefault="00F85289" w:rsidP="00F85289">
      <w:pPr>
        <w:pStyle w:val="a3"/>
        <w:tabs>
          <w:tab w:val="left" w:pos="426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AB107B">
        <w:rPr>
          <w:rFonts w:ascii="Times New Roman" w:hAnsi="Times New Roman" w:cs="Times New Roman"/>
          <w:sz w:val="28"/>
          <w:szCs w:val="28"/>
        </w:rPr>
        <w:t xml:space="preserve">гарантийного </w:t>
      </w:r>
      <w:r>
        <w:rPr>
          <w:rFonts w:ascii="Times New Roman" w:hAnsi="Times New Roman" w:cs="Times New Roman"/>
          <w:sz w:val="28"/>
          <w:szCs w:val="28"/>
        </w:rPr>
        <w:t xml:space="preserve">взноса каждого НПФ в фонд </w:t>
      </w:r>
      <w:r w:rsidRPr="00F85289">
        <w:rPr>
          <w:rFonts w:ascii="Times New Roman" w:hAnsi="Times New Roman" w:cs="Times New Roman"/>
          <w:sz w:val="28"/>
          <w:szCs w:val="28"/>
        </w:rPr>
        <w:t>гарантирования НПО</w:t>
      </w:r>
      <w:r w:rsidR="005578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определяется как произведение индивидуальной ставки </w:t>
      </w:r>
      <w:r w:rsidR="00AB107B">
        <w:rPr>
          <w:rFonts w:ascii="Times New Roman" w:hAnsi="Times New Roman" w:cs="Times New Roman"/>
          <w:sz w:val="28"/>
          <w:szCs w:val="28"/>
        </w:rPr>
        <w:t xml:space="preserve">гарантийного </w:t>
      </w:r>
      <w:r>
        <w:rPr>
          <w:rFonts w:ascii="Times New Roman" w:hAnsi="Times New Roman" w:cs="Times New Roman"/>
          <w:sz w:val="28"/>
          <w:szCs w:val="28"/>
        </w:rPr>
        <w:t xml:space="preserve">взноса НПФ и </w:t>
      </w:r>
      <w:r w:rsidR="001C14FC">
        <w:rPr>
          <w:rFonts w:ascii="Times New Roman" w:hAnsi="Times New Roman" w:cs="Times New Roman"/>
          <w:sz w:val="28"/>
          <w:szCs w:val="28"/>
        </w:rPr>
        <w:t>расчетной базы, равной величине</w:t>
      </w:r>
      <w:r>
        <w:rPr>
          <w:rFonts w:ascii="Times New Roman" w:hAnsi="Times New Roman" w:cs="Times New Roman"/>
          <w:sz w:val="28"/>
          <w:szCs w:val="28"/>
        </w:rPr>
        <w:t xml:space="preserve"> обязательств НПФ по договорам НПО, определенной по результатам ежегодного актуарного оценивания.</w:t>
      </w:r>
    </w:p>
    <w:p w:rsidR="00AB107B" w:rsidRPr="00AB107B" w:rsidRDefault="00F85289" w:rsidP="00AB107B">
      <w:pPr>
        <w:pStyle w:val="a3"/>
        <w:tabs>
          <w:tab w:val="left" w:pos="426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Индивидуальная ставка </w:t>
      </w:r>
      <w:r w:rsidR="00AB107B">
        <w:rPr>
          <w:rFonts w:ascii="Times New Roman" w:hAnsi="Times New Roman" w:cs="Times New Roman"/>
          <w:sz w:val="28"/>
          <w:szCs w:val="28"/>
        </w:rPr>
        <w:t xml:space="preserve">гарантийного </w:t>
      </w:r>
      <w:r w:rsidRPr="00F85289">
        <w:rPr>
          <w:rFonts w:ascii="Times New Roman" w:hAnsi="Times New Roman" w:cs="Times New Roman"/>
          <w:sz w:val="28"/>
          <w:szCs w:val="28"/>
        </w:rPr>
        <w:t xml:space="preserve">взноса </w:t>
      </w:r>
      <w:r w:rsidR="00AB107B">
        <w:rPr>
          <w:rFonts w:ascii="Times New Roman" w:hAnsi="Times New Roman" w:cs="Times New Roman"/>
          <w:sz w:val="28"/>
          <w:szCs w:val="28"/>
        </w:rPr>
        <w:t>каждого НПФ</w:t>
      </w:r>
      <w:r w:rsidRPr="00F85289">
        <w:rPr>
          <w:rFonts w:ascii="Times New Roman" w:hAnsi="Times New Roman" w:cs="Times New Roman"/>
          <w:sz w:val="28"/>
          <w:szCs w:val="28"/>
        </w:rPr>
        <w:t xml:space="preserve"> </w:t>
      </w:r>
      <w:r w:rsidR="00557830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Pr="00F85289"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r>
        <w:rPr>
          <w:rFonts w:ascii="Times New Roman" w:hAnsi="Times New Roman" w:cs="Times New Roman"/>
          <w:sz w:val="28"/>
          <w:szCs w:val="28"/>
        </w:rPr>
        <w:t xml:space="preserve">в зависимости от базовой ставки </w:t>
      </w:r>
      <w:r w:rsidR="00AB107B">
        <w:rPr>
          <w:rFonts w:ascii="Times New Roman" w:hAnsi="Times New Roman" w:cs="Times New Roman"/>
          <w:sz w:val="28"/>
          <w:szCs w:val="28"/>
        </w:rPr>
        <w:t xml:space="preserve">гарантийных </w:t>
      </w:r>
      <w:r>
        <w:rPr>
          <w:rFonts w:ascii="Times New Roman" w:hAnsi="Times New Roman" w:cs="Times New Roman"/>
          <w:sz w:val="28"/>
          <w:szCs w:val="28"/>
        </w:rPr>
        <w:t>взносов, качества активов, в которые размещены средства пенсионных резервов</w:t>
      </w:r>
      <w:r w:rsidR="00AB107B">
        <w:rPr>
          <w:rFonts w:ascii="Times New Roman" w:hAnsi="Times New Roman" w:cs="Times New Roman"/>
          <w:sz w:val="28"/>
          <w:szCs w:val="28"/>
        </w:rPr>
        <w:t xml:space="preserve"> НПФ</w:t>
      </w:r>
      <w:r w:rsidR="005578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финансовой устойчивости НПФ.</w:t>
      </w:r>
      <w:r w:rsidR="001C14FC">
        <w:rPr>
          <w:rFonts w:ascii="Times New Roman" w:hAnsi="Times New Roman" w:cs="Times New Roman"/>
          <w:sz w:val="28"/>
          <w:szCs w:val="28"/>
        </w:rPr>
        <w:t xml:space="preserve"> При этом предлагается установить, что р</w:t>
      </w:r>
      <w:r w:rsidR="00557830">
        <w:rPr>
          <w:rFonts w:ascii="Times New Roman" w:hAnsi="Times New Roman" w:cs="Times New Roman"/>
          <w:sz w:val="28"/>
          <w:szCs w:val="28"/>
        </w:rPr>
        <w:t xml:space="preserve">азмер индивидуальной ставки гарантийного взноса не может быть меньше </w:t>
      </w:r>
      <w:r w:rsidR="00FF0494">
        <w:rPr>
          <w:rFonts w:ascii="Times New Roman" w:hAnsi="Times New Roman" w:cs="Times New Roman"/>
          <w:sz w:val="28"/>
          <w:szCs w:val="28"/>
        </w:rPr>
        <w:t>половины</w:t>
      </w:r>
      <w:r w:rsidR="00557830">
        <w:rPr>
          <w:rFonts w:ascii="Times New Roman" w:hAnsi="Times New Roman" w:cs="Times New Roman"/>
          <w:sz w:val="28"/>
          <w:szCs w:val="28"/>
        </w:rPr>
        <w:t xml:space="preserve"> размера базовой ставки и больше </w:t>
      </w:r>
      <w:r w:rsidR="009636CC">
        <w:rPr>
          <w:rFonts w:ascii="Times New Roman" w:hAnsi="Times New Roman" w:cs="Times New Roman"/>
          <w:sz w:val="28"/>
          <w:szCs w:val="28"/>
        </w:rPr>
        <w:t>двух</w:t>
      </w:r>
      <w:r w:rsidR="00557830">
        <w:rPr>
          <w:rFonts w:ascii="Times New Roman" w:hAnsi="Times New Roman" w:cs="Times New Roman"/>
          <w:sz w:val="28"/>
          <w:szCs w:val="28"/>
        </w:rPr>
        <w:t xml:space="preserve"> размер</w:t>
      </w:r>
      <w:r w:rsidR="009636CC">
        <w:rPr>
          <w:rFonts w:ascii="Times New Roman" w:hAnsi="Times New Roman" w:cs="Times New Roman"/>
          <w:sz w:val="28"/>
          <w:szCs w:val="28"/>
        </w:rPr>
        <w:t>ов</w:t>
      </w:r>
      <w:r w:rsidR="00557830">
        <w:rPr>
          <w:rFonts w:ascii="Times New Roman" w:hAnsi="Times New Roman" w:cs="Times New Roman"/>
          <w:sz w:val="28"/>
          <w:szCs w:val="28"/>
        </w:rPr>
        <w:t xml:space="preserve"> базовой ставки.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4224">
        <w:rPr>
          <w:rFonts w:ascii="Times New Roman" w:hAnsi="Times New Roman" w:cs="Times New Roman"/>
          <w:sz w:val="28"/>
          <w:szCs w:val="28"/>
        </w:rPr>
        <w:t xml:space="preserve">Порядок определения индивидуальной ставки </w:t>
      </w:r>
      <w:r w:rsidR="00AB107B">
        <w:rPr>
          <w:rFonts w:ascii="Times New Roman" w:hAnsi="Times New Roman" w:cs="Times New Roman"/>
          <w:sz w:val="28"/>
          <w:szCs w:val="28"/>
        </w:rPr>
        <w:t xml:space="preserve">гарантийных </w:t>
      </w:r>
      <w:r w:rsidR="007A4224">
        <w:rPr>
          <w:rFonts w:ascii="Times New Roman" w:hAnsi="Times New Roman" w:cs="Times New Roman"/>
          <w:sz w:val="28"/>
          <w:szCs w:val="28"/>
        </w:rPr>
        <w:t>взносов предлагается установить в нормативном акте Банка России.</w:t>
      </w:r>
      <w:r w:rsidR="00AB107B" w:rsidRPr="00AB107B">
        <w:rPr>
          <w:rFonts w:ascii="Times New Roman" w:hAnsi="Times New Roman" w:cs="Times New Roman"/>
          <w:sz w:val="28"/>
          <w:szCs w:val="28"/>
        </w:rPr>
        <w:t xml:space="preserve"> </w:t>
      </w:r>
      <w:r w:rsidR="00AB107B">
        <w:rPr>
          <w:rFonts w:ascii="Times New Roman" w:hAnsi="Times New Roman" w:cs="Times New Roman"/>
          <w:sz w:val="28"/>
          <w:szCs w:val="28"/>
        </w:rPr>
        <w:t>Для защиты конкуренции</w:t>
      </w:r>
      <w:r w:rsidR="00D96BF2">
        <w:rPr>
          <w:rFonts w:ascii="Times New Roman" w:hAnsi="Times New Roman" w:cs="Times New Roman"/>
          <w:sz w:val="28"/>
          <w:szCs w:val="28"/>
        </w:rPr>
        <w:t xml:space="preserve"> и деловой репутации НПФ</w:t>
      </w:r>
      <w:r w:rsidR="00AB107B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557830">
        <w:rPr>
          <w:rFonts w:ascii="Times New Roman" w:hAnsi="Times New Roman" w:cs="Times New Roman"/>
          <w:sz w:val="28"/>
          <w:szCs w:val="28"/>
        </w:rPr>
        <w:t>размерах</w:t>
      </w:r>
      <w:r w:rsidR="00AB107B" w:rsidRPr="00AB107B">
        <w:rPr>
          <w:rFonts w:ascii="Times New Roman" w:hAnsi="Times New Roman" w:cs="Times New Roman"/>
          <w:sz w:val="28"/>
          <w:szCs w:val="28"/>
        </w:rPr>
        <w:t xml:space="preserve"> индивидуальн</w:t>
      </w:r>
      <w:r w:rsidR="00557830">
        <w:rPr>
          <w:rFonts w:ascii="Times New Roman" w:hAnsi="Times New Roman" w:cs="Times New Roman"/>
          <w:sz w:val="28"/>
          <w:szCs w:val="28"/>
        </w:rPr>
        <w:t>ых ставок</w:t>
      </w:r>
      <w:r w:rsidR="00AB107B">
        <w:rPr>
          <w:rFonts w:ascii="Times New Roman" w:hAnsi="Times New Roman" w:cs="Times New Roman"/>
          <w:sz w:val="28"/>
          <w:szCs w:val="28"/>
        </w:rPr>
        <w:t xml:space="preserve"> </w:t>
      </w:r>
      <w:r w:rsidR="00AB107B" w:rsidRPr="00AB107B">
        <w:rPr>
          <w:rFonts w:ascii="Times New Roman" w:hAnsi="Times New Roman" w:cs="Times New Roman"/>
          <w:sz w:val="28"/>
          <w:szCs w:val="28"/>
        </w:rPr>
        <w:t xml:space="preserve">НПФ </w:t>
      </w:r>
      <w:r w:rsidR="00FF0494">
        <w:rPr>
          <w:rFonts w:ascii="Times New Roman" w:hAnsi="Times New Roman" w:cs="Times New Roman"/>
          <w:sz w:val="28"/>
          <w:szCs w:val="28"/>
        </w:rPr>
        <w:t>не будут подлежать раскрытию, по аналогии с повышенными ставками в системе гарантирования вкладов.</w:t>
      </w:r>
    </w:p>
    <w:p w:rsidR="007A4224" w:rsidRDefault="007A4224" w:rsidP="00D96449">
      <w:pPr>
        <w:pStyle w:val="a3"/>
        <w:tabs>
          <w:tab w:val="left" w:pos="426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Базовая ставка</w:t>
      </w:r>
      <w:r w:rsidR="00AB107B">
        <w:rPr>
          <w:rFonts w:ascii="Times New Roman" w:hAnsi="Times New Roman" w:cs="Times New Roman"/>
          <w:sz w:val="28"/>
          <w:szCs w:val="28"/>
        </w:rPr>
        <w:t xml:space="preserve"> гарантийных</w:t>
      </w:r>
      <w:r>
        <w:rPr>
          <w:rFonts w:ascii="Times New Roman" w:hAnsi="Times New Roman" w:cs="Times New Roman"/>
          <w:sz w:val="28"/>
          <w:szCs w:val="28"/>
        </w:rPr>
        <w:t xml:space="preserve"> взносов не может быть выше 0,1% и не может быть ниже 0,0125%. </w:t>
      </w:r>
      <w:r w:rsidR="00FF0494">
        <w:rPr>
          <w:rFonts w:ascii="Times New Roman" w:hAnsi="Times New Roman" w:cs="Times New Roman"/>
          <w:sz w:val="28"/>
          <w:szCs w:val="28"/>
        </w:rPr>
        <w:t>При этом</w:t>
      </w:r>
      <w:r w:rsidR="009636CC"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 xml:space="preserve">азовая ставка не может превышать 0,0125% после того, как объем фонда гарантирования НПО достигнет 5% </w:t>
      </w:r>
      <w:r w:rsidR="00AB107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совокупных обязательств НПФ по договорам НПО. Величину базовой ставки или порядок ее определения п</w:t>
      </w:r>
      <w:r w:rsidRPr="007A4224">
        <w:rPr>
          <w:rFonts w:ascii="Times New Roman" w:hAnsi="Times New Roman" w:cs="Times New Roman"/>
          <w:sz w:val="28"/>
          <w:szCs w:val="28"/>
        </w:rPr>
        <w:t>редлагается установить в нормативном акте Банка России.</w:t>
      </w:r>
    </w:p>
    <w:p w:rsidR="004C58FC" w:rsidRPr="004C58FC" w:rsidRDefault="00AB107B" w:rsidP="004F4A3F">
      <w:pPr>
        <w:pStyle w:val="a3"/>
        <w:tabs>
          <w:tab w:val="left" w:pos="426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Источником уплаты гарантийных взносов НПФ</w:t>
      </w:r>
      <w:r w:rsidR="00D96BF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участников СГП</w:t>
      </w:r>
      <w:r w:rsidRPr="00AB107B">
        <w:rPr>
          <w:rFonts w:ascii="Times New Roman" w:hAnsi="Times New Roman" w:cs="Times New Roman"/>
          <w:sz w:val="28"/>
          <w:szCs w:val="28"/>
        </w:rPr>
        <w:t xml:space="preserve"> НПО в фонд гарантирования НПО</w:t>
      </w:r>
      <w:r>
        <w:rPr>
          <w:rFonts w:ascii="Times New Roman" w:hAnsi="Times New Roman" w:cs="Times New Roman"/>
          <w:sz w:val="28"/>
          <w:szCs w:val="28"/>
        </w:rPr>
        <w:t xml:space="preserve"> являются собственные средства НПФ. </w:t>
      </w:r>
      <w:r w:rsidR="00D96BF2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4C58FC">
        <w:rPr>
          <w:rFonts w:ascii="Times New Roman" w:hAnsi="Times New Roman" w:cs="Times New Roman"/>
          <w:sz w:val="28"/>
          <w:szCs w:val="28"/>
        </w:rPr>
        <w:t>НПФ</w:t>
      </w:r>
      <w:r w:rsidR="00557830">
        <w:rPr>
          <w:rFonts w:ascii="Times New Roman" w:hAnsi="Times New Roman" w:cs="Times New Roman"/>
          <w:sz w:val="28"/>
          <w:szCs w:val="28"/>
        </w:rPr>
        <w:t xml:space="preserve"> </w:t>
      </w:r>
      <w:r w:rsidR="004C58FC">
        <w:rPr>
          <w:rFonts w:ascii="Times New Roman" w:hAnsi="Times New Roman" w:cs="Times New Roman"/>
          <w:sz w:val="28"/>
          <w:szCs w:val="28"/>
        </w:rPr>
        <w:t>вправе за счет средс</w:t>
      </w:r>
      <w:r w:rsidR="009140CC">
        <w:rPr>
          <w:rFonts w:ascii="Times New Roman" w:hAnsi="Times New Roman" w:cs="Times New Roman"/>
          <w:sz w:val="28"/>
          <w:szCs w:val="28"/>
        </w:rPr>
        <w:t>тв пенсионных резервов возмещать</w:t>
      </w:r>
      <w:r w:rsidR="004C58FC">
        <w:rPr>
          <w:rFonts w:ascii="Times New Roman" w:hAnsi="Times New Roman" w:cs="Times New Roman"/>
          <w:sz w:val="28"/>
          <w:szCs w:val="28"/>
        </w:rPr>
        <w:t xml:space="preserve"> </w:t>
      </w:r>
      <w:r w:rsidR="009D406A">
        <w:rPr>
          <w:rFonts w:ascii="Times New Roman" w:hAnsi="Times New Roman" w:cs="Times New Roman"/>
          <w:sz w:val="28"/>
          <w:szCs w:val="28"/>
        </w:rPr>
        <w:t>величин</w:t>
      </w:r>
      <w:r w:rsidR="00D96BF2">
        <w:rPr>
          <w:rFonts w:ascii="Times New Roman" w:hAnsi="Times New Roman" w:cs="Times New Roman"/>
          <w:sz w:val="28"/>
          <w:szCs w:val="28"/>
        </w:rPr>
        <w:t>у</w:t>
      </w:r>
      <w:r w:rsidR="004C58FC">
        <w:rPr>
          <w:rFonts w:ascii="Times New Roman" w:hAnsi="Times New Roman" w:cs="Times New Roman"/>
          <w:sz w:val="28"/>
          <w:szCs w:val="28"/>
        </w:rPr>
        <w:t xml:space="preserve"> г</w:t>
      </w:r>
      <w:r w:rsidR="004C58FC" w:rsidRPr="004C58FC">
        <w:rPr>
          <w:rFonts w:ascii="Times New Roman" w:hAnsi="Times New Roman" w:cs="Times New Roman"/>
          <w:sz w:val="28"/>
          <w:szCs w:val="28"/>
        </w:rPr>
        <w:t>арантийного взноса</w:t>
      </w:r>
      <w:r w:rsidR="00AD7DB1">
        <w:rPr>
          <w:rFonts w:ascii="Times New Roman" w:hAnsi="Times New Roman" w:cs="Times New Roman"/>
          <w:sz w:val="28"/>
          <w:szCs w:val="28"/>
        </w:rPr>
        <w:t>, определенного по индивидуальной ставке гарантийных взносов НПФ, если индивидуальная ставка ниже базовой ставки, или по базовой ставке</w:t>
      </w:r>
      <w:r w:rsidR="00557830">
        <w:rPr>
          <w:rStyle w:val="aa"/>
          <w:rFonts w:ascii="Times New Roman" w:hAnsi="Times New Roman" w:cs="Times New Roman"/>
          <w:sz w:val="28"/>
          <w:szCs w:val="28"/>
        </w:rPr>
        <w:footnoteReference w:id="3"/>
      </w:r>
      <w:r w:rsidR="009D406A">
        <w:rPr>
          <w:rFonts w:ascii="Times New Roman" w:hAnsi="Times New Roman" w:cs="Times New Roman"/>
          <w:sz w:val="28"/>
          <w:szCs w:val="28"/>
        </w:rPr>
        <w:t>.</w:t>
      </w:r>
    </w:p>
    <w:p w:rsidR="00E944BA" w:rsidRDefault="00D96449" w:rsidP="00D96449">
      <w:pPr>
        <w:pStyle w:val="a3"/>
        <w:tabs>
          <w:tab w:val="left" w:pos="426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96449">
        <w:rPr>
          <w:rFonts w:ascii="Times New Roman" w:hAnsi="Times New Roman" w:cs="Times New Roman"/>
          <w:sz w:val="28"/>
          <w:szCs w:val="28"/>
        </w:rPr>
        <w:t xml:space="preserve">редства фонда гарантирования </w:t>
      </w:r>
      <w:r>
        <w:rPr>
          <w:rFonts w:ascii="Times New Roman" w:hAnsi="Times New Roman" w:cs="Times New Roman"/>
          <w:sz w:val="28"/>
          <w:szCs w:val="28"/>
        </w:rPr>
        <w:t>НПО</w:t>
      </w:r>
      <w:r w:rsidRPr="00D96449">
        <w:rPr>
          <w:rFonts w:ascii="Times New Roman" w:hAnsi="Times New Roman" w:cs="Times New Roman"/>
          <w:sz w:val="28"/>
          <w:szCs w:val="28"/>
        </w:rPr>
        <w:t xml:space="preserve"> направляются </w:t>
      </w:r>
      <w:r>
        <w:rPr>
          <w:rFonts w:ascii="Times New Roman" w:hAnsi="Times New Roman" w:cs="Times New Roman"/>
          <w:sz w:val="28"/>
          <w:szCs w:val="28"/>
        </w:rPr>
        <w:t>АСВ</w:t>
      </w:r>
      <w:r w:rsidRPr="00D96449">
        <w:rPr>
          <w:rFonts w:ascii="Times New Roman" w:hAnsi="Times New Roman" w:cs="Times New Roman"/>
          <w:sz w:val="28"/>
          <w:szCs w:val="28"/>
        </w:rPr>
        <w:t xml:space="preserve"> на выплату гарантийного возмещения в </w:t>
      </w:r>
      <w:r>
        <w:rPr>
          <w:rFonts w:ascii="Times New Roman" w:hAnsi="Times New Roman" w:cs="Times New Roman"/>
          <w:sz w:val="28"/>
          <w:szCs w:val="28"/>
        </w:rPr>
        <w:t>СГП НПО</w:t>
      </w:r>
      <w:r w:rsidRPr="00D96449">
        <w:rPr>
          <w:rFonts w:ascii="Times New Roman" w:hAnsi="Times New Roman" w:cs="Times New Roman"/>
          <w:sz w:val="28"/>
          <w:szCs w:val="28"/>
        </w:rPr>
        <w:t xml:space="preserve">, а также на финансирование расходов, связанных с обеспечением функционирования </w:t>
      </w:r>
      <w:r>
        <w:rPr>
          <w:rFonts w:ascii="Times New Roman" w:hAnsi="Times New Roman" w:cs="Times New Roman"/>
          <w:sz w:val="28"/>
          <w:szCs w:val="28"/>
        </w:rPr>
        <w:t>СГП НПО.</w:t>
      </w:r>
    </w:p>
    <w:p w:rsidR="00A4743A" w:rsidRDefault="00D96449" w:rsidP="00D96449">
      <w:pPr>
        <w:pStyle w:val="a3"/>
        <w:tabs>
          <w:tab w:val="left" w:pos="426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Финансовая устойчивость СГП НПО </w:t>
      </w:r>
      <w:r w:rsidRPr="00D96449">
        <w:rPr>
          <w:rFonts w:ascii="Times New Roman" w:hAnsi="Times New Roman" w:cs="Times New Roman"/>
          <w:sz w:val="28"/>
          <w:szCs w:val="28"/>
        </w:rPr>
        <w:t>обеспечивается</w:t>
      </w:r>
      <w:r w:rsidR="00D96BF2">
        <w:rPr>
          <w:rFonts w:ascii="Times New Roman" w:hAnsi="Times New Roman" w:cs="Times New Roman"/>
          <w:sz w:val="28"/>
          <w:szCs w:val="28"/>
        </w:rPr>
        <w:t xml:space="preserve"> по аналогии с </w:t>
      </w:r>
      <w:r w:rsidRPr="00D96449">
        <w:rPr>
          <w:rFonts w:ascii="Times New Roman" w:hAnsi="Times New Roman" w:cs="Times New Roman"/>
          <w:sz w:val="28"/>
          <w:szCs w:val="28"/>
        </w:rPr>
        <w:t>порядк</w:t>
      </w:r>
      <w:r w:rsidR="00D96BF2">
        <w:rPr>
          <w:rFonts w:ascii="Times New Roman" w:hAnsi="Times New Roman" w:cs="Times New Roman"/>
          <w:sz w:val="28"/>
          <w:szCs w:val="28"/>
        </w:rPr>
        <w:t>ом</w:t>
      </w:r>
      <w:r w:rsidRPr="00D96449">
        <w:rPr>
          <w:rFonts w:ascii="Times New Roman" w:hAnsi="Times New Roman" w:cs="Times New Roman"/>
          <w:sz w:val="28"/>
          <w:szCs w:val="28"/>
        </w:rPr>
        <w:t xml:space="preserve"> и условия</w:t>
      </w:r>
      <w:r w:rsidR="00D96BF2">
        <w:rPr>
          <w:rFonts w:ascii="Times New Roman" w:hAnsi="Times New Roman" w:cs="Times New Roman"/>
          <w:sz w:val="28"/>
          <w:szCs w:val="28"/>
        </w:rPr>
        <w:t>ми</w:t>
      </w:r>
      <w:r w:rsidRPr="00D96449">
        <w:rPr>
          <w:rFonts w:ascii="Times New Roman" w:hAnsi="Times New Roman" w:cs="Times New Roman"/>
          <w:sz w:val="28"/>
          <w:szCs w:val="28"/>
        </w:rPr>
        <w:t>, которые установлены</w:t>
      </w:r>
      <w:r w:rsidR="00C31525" w:rsidRPr="00C31525">
        <w:t xml:space="preserve"> </w:t>
      </w:r>
      <w:r w:rsidR="00C31525">
        <w:rPr>
          <w:rFonts w:ascii="Times New Roman" w:hAnsi="Times New Roman" w:cs="Times New Roman"/>
          <w:sz w:val="28"/>
          <w:szCs w:val="28"/>
        </w:rPr>
        <w:t>для системы</w:t>
      </w:r>
      <w:r w:rsidR="00C31525" w:rsidRPr="00C31525">
        <w:rPr>
          <w:rFonts w:ascii="Times New Roman" w:hAnsi="Times New Roman" w:cs="Times New Roman"/>
          <w:sz w:val="28"/>
          <w:szCs w:val="28"/>
        </w:rPr>
        <w:t xml:space="preserve"> гарантирования прав застрахованных лиц в системе ОПС</w:t>
      </w:r>
      <w:r w:rsidRPr="00D96449">
        <w:rPr>
          <w:rFonts w:ascii="Times New Roman" w:hAnsi="Times New Roman" w:cs="Times New Roman"/>
          <w:sz w:val="28"/>
          <w:szCs w:val="28"/>
        </w:rPr>
        <w:t>.</w:t>
      </w:r>
    </w:p>
    <w:p w:rsidR="00A4743A" w:rsidRDefault="00A4743A" w:rsidP="00D96449">
      <w:pPr>
        <w:pStyle w:val="a3"/>
        <w:tabs>
          <w:tab w:val="left" w:pos="426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2B56FD" w:rsidRPr="006B0F9C" w:rsidRDefault="001D07B4" w:rsidP="00DA2C70">
      <w:pPr>
        <w:pStyle w:val="a3"/>
        <w:numPr>
          <w:ilvl w:val="1"/>
          <w:numId w:val="1"/>
        </w:numPr>
        <w:tabs>
          <w:tab w:val="left" w:pos="426"/>
        </w:tabs>
        <w:spacing w:after="0" w:line="360" w:lineRule="auto"/>
        <w:ind w:left="0" w:firstLine="0"/>
        <w:contextualSpacing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B3F73" w:rsidRPr="006B0F9C">
        <w:rPr>
          <w:rFonts w:ascii="Times New Roman" w:hAnsi="Times New Roman" w:cs="Times New Roman"/>
          <w:b/>
          <w:i/>
          <w:sz w:val="28"/>
          <w:szCs w:val="28"/>
        </w:rPr>
        <w:t>Вступление НПФ в СГП НПО</w:t>
      </w:r>
      <w:r w:rsidR="006B0F9C" w:rsidRPr="006B0F9C">
        <w:rPr>
          <w:rFonts w:ascii="Times New Roman" w:hAnsi="Times New Roman" w:cs="Times New Roman"/>
          <w:b/>
          <w:i/>
          <w:sz w:val="28"/>
          <w:szCs w:val="28"/>
        </w:rPr>
        <w:t xml:space="preserve"> и переходные положения</w:t>
      </w:r>
    </w:p>
    <w:p w:rsidR="00F90344" w:rsidRPr="00F90344" w:rsidRDefault="003A4FF5" w:rsidP="00F90344">
      <w:pPr>
        <w:pStyle w:val="a3"/>
        <w:tabs>
          <w:tab w:val="left" w:pos="426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НПФ, </w:t>
      </w:r>
      <w:r w:rsidRPr="003A4FF5">
        <w:rPr>
          <w:rFonts w:ascii="Times New Roman" w:hAnsi="Times New Roman" w:cs="Times New Roman"/>
          <w:sz w:val="28"/>
          <w:szCs w:val="28"/>
        </w:rPr>
        <w:t>осуществляющи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FF5">
        <w:rPr>
          <w:rFonts w:ascii="Times New Roman" w:hAnsi="Times New Roman" w:cs="Times New Roman"/>
          <w:sz w:val="28"/>
          <w:szCs w:val="28"/>
        </w:rPr>
        <w:t xml:space="preserve"> деятельность по НПО с применением пенсионных схем, предусматривающих учет пенсионных взносов на имен</w:t>
      </w:r>
      <w:r>
        <w:rPr>
          <w:rFonts w:ascii="Times New Roman" w:hAnsi="Times New Roman" w:cs="Times New Roman"/>
          <w:sz w:val="28"/>
          <w:szCs w:val="28"/>
        </w:rPr>
        <w:t>ных счетах участников, обязаны вступить в СГП НПО</w:t>
      </w:r>
      <w:r w:rsidR="00F90344">
        <w:rPr>
          <w:rFonts w:ascii="Times New Roman" w:hAnsi="Times New Roman" w:cs="Times New Roman"/>
          <w:sz w:val="28"/>
          <w:szCs w:val="28"/>
        </w:rPr>
        <w:t xml:space="preserve"> или прекратить осуществление такой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7628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31.12.2026.</w:t>
      </w:r>
    </w:p>
    <w:p w:rsidR="003A4FF5" w:rsidRDefault="003A4FF5" w:rsidP="003A4FF5">
      <w:pPr>
        <w:pStyle w:val="a3"/>
        <w:tabs>
          <w:tab w:val="left" w:pos="426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Условиями вступления НПФ в СГП НПО являются:</w:t>
      </w:r>
    </w:p>
    <w:p w:rsidR="003A4FF5" w:rsidRDefault="003A4FF5" w:rsidP="003A4FF5">
      <w:pPr>
        <w:pStyle w:val="a3"/>
        <w:numPr>
          <w:ilvl w:val="0"/>
          <w:numId w:val="12"/>
        </w:numPr>
        <w:tabs>
          <w:tab w:val="left" w:pos="426"/>
        </w:tabs>
        <w:spacing w:after="0" w:line="360" w:lineRule="auto"/>
        <w:ind w:left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деятельности НПФ требованиям законодательства Российской Федерации, в том числе в части прохождения стресс-тестирования и размещения средств пенсионных резервов;</w:t>
      </w:r>
    </w:p>
    <w:p w:rsidR="003A4FF5" w:rsidRDefault="003A4FF5" w:rsidP="003A4FF5">
      <w:pPr>
        <w:pStyle w:val="a3"/>
        <w:numPr>
          <w:ilvl w:val="0"/>
          <w:numId w:val="12"/>
        </w:numPr>
        <w:tabs>
          <w:tab w:val="left" w:pos="426"/>
        </w:tabs>
        <w:spacing w:after="0" w:line="360" w:lineRule="auto"/>
        <w:ind w:left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проверки Банком России деятельности НПФ по НПО</w:t>
      </w:r>
      <w:r w:rsidR="00F90344">
        <w:rPr>
          <w:rFonts w:ascii="Times New Roman" w:hAnsi="Times New Roman" w:cs="Times New Roman"/>
          <w:sz w:val="28"/>
          <w:szCs w:val="28"/>
        </w:rPr>
        <w:t>.</w:t>
      </w:r>
    </w:p>
    <w:p w:rsidR="00F90344" w:rsidRDefault="00F90344" w:rsidP="00F90344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Невступление НПФ, осуществляющего</w:t>
      </w:r>
      <w:r w:rsidRPr="00F90344">
        <w:rPr>
          <w:rFonts w:ascii="Times New Roman" w:hAnsi="Times New Roman" w:cs="Times New Roman"/>
          <w:sz w:val="28"/>
          <w:szCs w:val="28"/>
        </w:rPr>
        <w:t xml:space="preserve"> деятельность по НПО с применением пенсионных схем, предусматривающих учет пенсионных взносов на именных счетах участников,</w:t>
      </w:r>
      <w:r>
        <w:rPr>
          <w:rFonts w:ascii="Times New Roman" w:hAnsi="Times New Roman" w:cs="Times New Roman"/>
          <w:sz w:val="28"/>
          <w:szCs w:val="28"/>
        </w:rPr>
        <w:t xml:space="preserve"> в СГП НПО до </w:t>
      </w:r>
      <w:r w:rsidR="00A77628" w:rsidRPr="00A77628">
        <w:rPr>
          <w:rFonts w:ascii="Times New Roman" w:hAnsi="Times New Roman" w:cs="Times New Roman"/>
          <w:sz w:val="28"/>
          <w:szCs w:val="28"/>
        </w:rPr>
        <w:t>31.12.2026</w:t>
      </w:r>
      <w:r>
        <w:rPr>
          <w:rFonts w:ascii="Times New Roman" w:hAnsi="Times New Roman" w:cs="Times New Roman"/>
          <w:sz w:val="28"/>
          <w:szCs w:val="28"/>
        </w:rPr>
        <w:t xml:space="preserve"> является основанием для аннулирования лицензии НПФ.</w:t>
      </w:r>
    </w:p>
    <w:p w:rsidR="00F90344" w:rsidRDefault="00F90344" w:rsidP="00F90344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НПФ, не являющиеся участниками СГП НПО, не вправе заключать договора НПО</w:t>
      </w:r>
      <w:r w:rsidRPr="00F90344">
        <w:t xml:space="preserve"> </w:t>
      </w:r>
      <w:r w:rsidRPr="00F90344">
        <w:rPr>
          <w:rFonts w:ascii="Times New Roman" w:hAnsi="Times New Roman" w:cs="Times New Roman"/>
          <w:sz w:val="28"/>
          <w:szCs w:val="28"/>
        </w:rPr>
        <w:t>с применением пенсионных схем, предусматривающих учет пенсионных взносов на именных счетах участников</w:t>
      </w:r>
      <w:r>
        <w:rPr>
          <w:rFonts w:ascii="Times New Roman" w:hAnsi="Times New Roman" w:cs="Times New Roman"/>
          <w:sz w:val="28"/>
          <w:szCs w:val="28"/>
        </w:rPr>
        <w:t xml:space="preserve">, после </w:t>
      </w:r>
      <w:r w:rsidR="00A77628" w:rsidRPr="00A77628">
        <w:rPr>
          <w:rFonts w:ascii="Times New Roman" w:hAnsi="Times New Roman" w:cs="Times New Roman"/>
          <w:sz w:val="28"/>
          <w:szCs w:val="28"/>
        </w:rPr>
        <w:t>31.12.2026</w:t>
      </w:r>
      <w:r>
        <w:rPr>
          <w:rFonts w:ascii="Times New Roman" w:hAnsi="Times New Roman" w:cs="Times New Roman"/>
          <w:sz w:val="28"/>
          <w:szCs w:val="28"/>
        </w:rPr>
        <w:t>.</w:t>
      </w:r>
      <w:r w:rsidR="00A474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344" w:rsidRPr="00F90344" w:rsidRDefault="00F90344" w:rsidP="00F90344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реализации </w:t>
      </w:r>
      <w:r w:rsidR="00A77628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A77628" w:rsidRPr="00A77628">
        <w:rPr>
          <w:rFonts w:ascii="Times New Roman" w:hAnsi="Times New Roman" w:cs="Times New Roman"/>
          <w:sz w:val="28"/>
          <w:szCs w:val="28"/>
        </w:rPr>
        <w:t>выплаты гарантийного возмещения</w:t>
      </w:r>
      <w:r w:rsidR="00A77628">
        <w:rPr>
          <w:rFonts w:ascii="Times New Roman" w:hAnsi="Times New Roman" w:cs="Times New Roman"/>
          <w:sz w:val="28"/>
          <w:szCs w:val="28"/>
        </w:rPr>
        <w:t xml:space="preserve"> с участием лица, уполномоченного договором НПО</w:t>
      </w:r>
      <w:r w:rsidR="00A77628" w:rsidRPr="00A77628">
        <w:rPr>
          <w:rFonts w:ascii="Times New Roman" w:hAnsi="Times New Roman" w:cs="Times New Roman"/>
          <w:sz w:val="28"/>
          <w:szCs w:val="28"/>
        </w:rPr>
        <w:t xml:space="preserve"> на принятие решения о выплате гарантийного возмещения в друг</w:t>
      </w:r>
      <w:r w:rsidR="00A77628">
        <w:rPr>
          <w:rFonts w:ascii="Times New Roman" w:hAnsi="Times New Roman" w:cs="Times New Roman"/>
          <w:sz w:val="28"/>
          <w:szCs w:val="28"/>
        </w:rPr>
        <w:t>ой НПФ (к примеру, работодателя</w:t>
      </w:r>
      <w:r w:rsidR="00A77628" w:rsidRPr="00A77628">
        <w:rPr>
          <w:rFonts w:ascii="Times New Roman" w:hAnsi="Times New Roman" w:cs="Times New Roman"/>
          <w:sz w:val="28"/>
          <w:szCs w:val="28"/>
        </w:rPr>
        <w:t xml:space="preserve"> участника в случае корпоративной пенсионной программы)</w:t>
      </w:r>
      <w:r w:rsidR="00A77628">
        <w:rPr>
          <w:rFonts w:ascii="Times New Roman" w:hAnsi="Times New Roman" w:cs="Times New Roman"/>
          <w:sz w:val="28"/>
          <w:szCs w:val="28"/>
        </w:rPr>
        <w:t xml:space="preserve">, вкладчик, внесший более половины взносов по договору НПО, заключенному до </w:t>
      </w:r>
      <w:r w:rsidR="00DB7378">
        <w:rPr>
          <w:rFonts w:ascii="Times New Roman" w:hAnsi="Times New Roman" w:cs="Times New Roman"/>
          <w:sz w:val="28"/>
          <w:szCs w:val="28"/>
        </w:rPr>
        <w:t xml:space="preserve">вступления в силу закона о введении </w:t>
      </w:r>
      <w:r w:rsidR="00A77628">
        <w:rPr>
          <w:rFonts w:ascii="Times New Roman" w:hAnsi="Times New Roman" w:cs="Times New Roman"/>
          <w:sz w:val="28"/>
          <w:szCs w:val="28"/>
        </w:rPr>
        <w:t xml:space="preserve">СГП НПО, вправе до </w:t>
      </w:r>
      <w:r w:rsidR="00A77628" w:rsidRPr="00A77628">
        <w:rPr>
          <w:rFonts w:ascii="Times New Roman" w:hAnsi="Times New Roman" w:cs="Times New Roman"/>
          <w:sz w:val="28"/>
          <w:szCs w:val="28"/>
        </w:rPr>
        <w:t>31.12.2026</w:t>
      </w:r>
      <w:r w:rsidR="00A77628">
        <w:rPr>
          <w:rFonts w:ascii="Times New Roman" w:hAnsi="Times New Roman" w:cs="Times New Roman"/>
          <w:sz w:val="28"/>
          <w:szCs w:val="28"/>
        </w:rPr>
        <w:t xml:space="preserve"> в одностороннем порядке </w:t>
      </w:r>
      <w:r w:rsidR="001D07B4">
        <w:rPr>
          <w:rFonts w:ascii="Times New Roman" w:hAnsi="Times New Roman" w:cs="Times New Roman"/>
          <w:sz w:val="28"/>
          <w:szCs w:val="28"/>
        </w:rPr>
        <w:t>внести изменения в договор НПО в части указания</w:t>
      </w:r>
      <w:r w:rsidR="00A77628">
        <w:rPr>
          <w:rFonts w:ascii="Times New Roman" w:hAnsi="Times New Roman" w:cs="Times New Roman"/>
          <w:sz w:val="28"/>
          <w:szCs w:val="28"/>
        </w:rPr>
        <w:t xml:space="preserve"> тако</w:t>
      </w:r>
      <w:r w:rsidR="001D07B4">
        <w:rPr>
          <w:rFonts w:ascii="Times New Roman" w:hAnsi="Times New Roman" w:cs="Times New Roman"/>
          <w:sz w:val="28"/>
          <w:szCs w:val="28"/>
        </w:rPr>
        <w:t>го</w:t>
      </w:r>
      <w:r w:rsidR="00A77628">
        <w:rPr>
          <w:rFonts w:ascii="Times New Roman" w:hAnsi="Times New Roman" w:cs="Times New Roman"/>
          <w:sz w:val="28"/>
          <w:szCs w:val="28"/>
        </w:rPr>
        <w:t xml:space="preserve"> уполномоченно</w:t>
      </w:r>
      <w:r w:rsidR="001D07B4">
        <w:rPr>
          <w:rFonts w:ascii="Times New Roman" w:hAnsi="Times New Roman" w:cs="Times New Roman"/>
          <w:sz w:val="28"/>
          <w:szCs w:val="28"/>
        </w:rPr>
        <w:t>го</w:t>
      </w:r>
      <w:r w:rsidR="00A77628">
        <w:rPr>
          <w:rFonts w:ascii="Times New Roman" w:hAnsi="Times New Roman" w:cs="Times New Roman"/>
          <w:sz w:val="28"/>
          <w:szCs w:val="28"/>
        </w:rPr>
        <w:t xml:space="preserve"> лиц</w:t>
      </w:r>
      <w:r w:rsidR="001D07B4">
        <w:rPr>
          <w:rFonts w:ascii="Times New Roman" w:hAnsi="Times New Roman" w:cs="Times New Roman"/>
          <w:sz w:val="28"/>
          <w:szCs w:val="28"/>
        </w:rPr>
        <w:t>а</w:t>
      </w:r>
      <w:r w:rsidR="00A776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0F9C" w:rsidRPr="006B0F9C" w:rsidRDefault="006B0F9C" w:rsidP="006B0F9C">
      <w:pPr>
        <w:pStyle w:val="a3"/>
        <w:tabs>
          <w:tab w:val="left" w:pos="426"/>
        </w:tabs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2D0C9C" w:rsidRDefault="00A2670B" w:rsidP="00DA2C70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contextualSpacing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Реализация</w:t>
      </w:r>
      <w:r w:rsidRPr="006B0931">
        <w:rPr>
          <w:rFonts w:ascii="Times New Roman" w:hAnsi="Times New Roman" w:cs="Times New Roman"/>
          <w:b/>
          <w:sz w:val="28"/>
          <w:szCs w:val="28"/>
        </w:rPr>
        <w:t xml:space="preserve"> в законодательстве</w:t>
      </w:r>
    </w:p>
    <w:p w:rsidR="00CF4B87" w:rsidRDefault="00CF4B87" w:rsidP="00F97962">
      <w:pPr>
        <w:pStyle w:val="a3"/>
        <w:tabs>
          <w:tab w:val="left" w:pos="426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Регулирование отношений по созданию и функционированию СГП НПО предлагается установить </w:t>
      </w:r>
      <w:r w:rsidR="00DB7378">
        <w:rPr>
          <w:rFonts w:ascii="Times New Roman" w:hAnsi="Times New Roman" w:cs="Times New Roman"/>
          <w:sz w:val="28"/>
          <w:szCs w:val="28"/>
        </w:rPr>
        <w:t xml:space="preserve">в отдельном федеральном законе или </w:t>
      </w:r>
      <w:r>
        <w:rPr>
          <w:rFonts w:ascii="Times New Roman" w:hAnsi="Times New Roman" w:cs="Times New Roman"/>
          <w:sz w:val="28"/>
          <w:szCs w:val="28"/>
        </w:rPr>
        <w:t xml:space="preserve">в Федеральном законе </w:t>
      </w:r>
      <w:r w:rsidRPr="00CF4B87">
        <w:rPr>
          <w:rFonts w:ascii="Times New Roman" w:hAnsi="Times New Roman" w:cs="Times New Roman"/>
          <w:sz w:val="28"/>
          <w:szCs w:val="28"/>
        </w:rPr>
        <w:t>от 07.05.1998 № 75-ФЗ «О негос</w:t>
      </w:r>
      <w:r>
        <w:rPr>
          <w:rFonts w:ascii="Times New Roman" w:hAnsi="Times New Roman" w:cs="Times New Roman"/>
          <w:sz w:val="28"/>
          <w:szCs w:val="28"/>
        </w:rPr>
        <w:t xml:space="preserve">ударственных пенсионных фондах», дополнив его </w:t>
      </w:r>
      <w:r w:rsidR="000C3413">
        <w:rPr>
          <w:rFonts w:ascii="Times New Roman" w:hAnsi="Times New Roman" w:cs="Times New Roman"/>
          <w:sz w:val="28"/>
          <w:szCs w:val="28"/>
        </w:rPr>
        <w:t>соответствующей</w:t>
      </w:r>
      <w:r>
        <w:rPr>
          <w:rFonts w:ascii="Times New Roman" w:hAnsi="Times New Roman" w:cs="Times New Roman"/>
          <w:sz w:val="28"/>
          <w:szCs w:val="28"/>
        </w:rPr>
        <w:t xml:space="preserve"> главой.</w:t>
      </w:r>
    </w:p>
    <w:p w:rsidR="001F2530" w:rsidRDefault="00CF4B87" w:rsidP="00F97962">
      <w:pPr>
        <w:pStyle w:val="a3"/>
        <w:tabs>
          <w:tab w:val="left" w:pos="426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введение СГП НПО потребует внесения изменений в Федеральный</w:t>
      </w:r>
      <w:r w:rsidRPr="00CF4B87">
        <w:rPr>
          <w:rFonts w:ascii="Times New Roman" w:hAnsi="Times New Roman" w:cs="Times New Roman"/>
          <w:sz w:val="28"/>
          <w:szCs w:val="28"/>
        </w:rPr>
        <w:t xml:space="preserve"> закон от 26.10.2002 № 127-ФЗ «О несостоятельности (банкротстве)»</w:t>
      </w:r>
      <w:r w:rsidR="000C3413">
        <w:rPr>
          <w:rFonts w:ascii="Times New Roman" w:hAnsi="Times New Roman" w:cs="Times New Roman"/>
          <w:sz w:val="28"/>
          <w:szCs w:val="28"/>
        </w:rPr>
        <w:t xml:space="preserve"> (в части банкротства НПФ)</w:t>
      </w:r>
      <w:r w:rsidR="00CB2E7A">
        <w:rPr>
          <w:rFonts w:ascii="Times New Roman" w:hAnsi="Times New Roman" w:cs="Times New Roman"/>
          <w:sz w:val="28"/>
          <w:szCs w:val="28"/>
        </w:rPr>
        <w:t xml:space="preserve"> и </w:t>
      </w:r>
      <w:r w:rsidR="000C3413">
        <w:rPr>
          <w:rFonts w:ascii="Times New Roman" w:hAnsi="Times New Roman" w:cs="Times New Roman"/>
          <w:sz w:val="28"/>
          <w:szCs w:val="28"/>
        </w:rPr>
        <w:t xml:space="preserve">Налоговый кодекс Российской Федерации (в части </w:t>
      </w:r>
      <w:r w:rsidR="004F4A3F">
        <w:rPr>
          <w:rFonts w:ascii="Times New Roman" w:hAnsi="Times New Roman" w:cs="Times New Roman"/>
          <w:sz w:val="28"/>
          <w:szCs w:val="28"/>
        </w:rPr>
        <w:t>налогообложения взносов НПФ в фонд гара</w:t>
      </w:r>
      <w:r w:rsidR="00856FD9">
        <w:rPr>
          <w:rFonts w:ascii="Times New Roman" w:hAnsi="Times New Roman" w:cs="Times New Roman"/>
          <w:sz w:val="28"/>
          <w:szCs w:val="28"/>
        </w:rPr>
        <w:t>нтирования НПО</w:t>
      </w:r>
      <w:r w:rsidR="000C3413">
        <w:rPr>
          <w:rFonts w:ascii="Times New Roman" w:hAnsi="Times New Roman" w:cs="Times New Roman"/>
          <w:sz w:val="28"/>
          <w:szCs w:val="28"/>
        </w:rPr>
        <w:t>)</w:t>
      </w:r>
      <w:r w:rsidR="004F4A3F">
        <w:rPr>
          <w:rFonts w:ascii="Times New Roman" w:hAnsi="Times New Roman" w:cs="Times New Roman"/>
          <w:sz w:val="28"/>
          <w:szCs w:val="28"/>
        </w:rPr>
        <w:t>,</w:t>
      </w:r>
      <w:r w:rsidR="000C3413">
        <w:rPr>
          <w:rFonts w:ascii="Times New Roman" w:hAnsi="Times New Roman" w:cs="Times New Roman"/>
          <w:sz w:val="28"/>
          <w:szCs w:val="28"/>
        </w:rPr>
        <w:t xml:space="preserve"> </w:t>
      </w:r>
      <w:r w:rsidRPr="00CF4B87"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 xml:space="preserve">принятия ряда нормативных актов Банка России </w:t>
      </w:r>
      <w:r w:rsidRPr="00CF4B87">
        <w:rPr>
          <w:rFonts w:ascii="Times New Roman" w:hAnsi="Times New Roman" w:cs="Times New Roman"/>
          <w:sz w:val="28"/>
          <w:szCs w:val="28"/>
        </w:rPr>
        <w:t xml:space="preserve">(в частности, </w:t>
      </w:r>
      <w:r>
        <w:rPr>
          <w:rFonts w:ascii="Times New Roman" w:hAnsi="Times New Roman" w:cs="Times New Roman"/>
          <w:sz w:val="28"/>
          <w:szCs w:val="28"/>
        </w:rPr>
        <w:t>устанавливающих порядок определения ставки взносов в фонд гарантирования НПО</w:t>
      </w:r>
      <w:r w:rsidRPr="00CF4B87">
        <w:rPr>
          <w:rFonts w:ascii="Times New Roman" w:hAnsi="Times New Roman" w:cs="Times New Roman"/>
          <w:sz w:val="28"/>
          <w:szCs w:val="28"/>
        </w:rPr>
        <w:t>).</w:t>
      </w:r>
    </w:p>
    <w:p w:rsidR="001F2530" w:rsidRDefault="001F2530" w:rsidP="00F97962">
      <w:pPr>
        <w:pStyle w:val="a3"/>
        <w:tabs>
          <w:tab w:val="left" w:pos="426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sectPr w:rsidR="001F2530" w:rsidSect="00CB2E7A">
      <w:head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7CA" w:rsidRDefault="00E607CA" w:rsidP="00CB2E7A">
      <w:pPr>
        <w:spacing w:after="0" w:line="240" w:lineRule="auto"/>
      </w:pPr>
      <w:r>
        <w:separator/>
      </w:r>
    </w:p>
  </w:endnote>
  <w:endnote w:type="continuationSeparator" w:id="0">
    <w:p w:rsidR="00E607CA" w:rsidRDefault="00E607CA" w:rsidP="00CB2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7CA" w:rsidRDefault="00E607CA" w:rsidP="00CB2E7A">
      <w:pPr>
        <w:spacing w:after="0" w:line="240" w:lineRule="auto"/>
      </w:pPr>
      <w:r>
        <w:separator/>
      </w:r>
    </w:p>
  </w:footnote>
  <w:footnote w:type="continuationSeparator" w:id="0">
    <w:p w:rsidR="00E607CA" w:rsidRDefault="00E607CA" w:rsidP="00CB2E7A">
      <w:pPr>
        <w:spacing w:after="0" w:line="240" w:lineRule="auto"/>
      </w:pPr>
      <w:r>
        <w:continuationSeparator/>
      </w:r>
    </w:p>
  </w:footnote>
  <w:footnote w:id="1">
    <w:p w:rsidR="00C31525" w:rsidRPr="00C31525" w:rsidRDefault="00C31525" w:rsidP="00C31525">
      <w:pPr>
        <w:pStyle w:val="a8"/>
        <w:rPr>
          <w:rFonts w:ascii="Times New Roman" w:hAnsi="Times New Roman" w:cs="Times New Roman"/>
        </w:rPr>
      </w:pPr>
      <w:r w:rsidRPr="00C31525">
        <w:rPr>
          <w:rStyle w:val="aa"/>
          <w:rFonts w:ascii="Times New Roman" w:hAnsi="Times New Roman" w:cs="Times New Roman"/>
        </w:rPr>
        <w:footnoteRef/>
      </w:r>
      <w:r w:rsidRPr="00C31525">
        <w:rPr>
          <w:rFonts w:ascii="Times New Roman" w:hAnsi="Times New Roman" w:cs="Times New Roman"/>
        </w:rPr>
        <w:t xml:space="preserve"> Утверждена распоряжением Правительства Российской Федерации от 25.12.2012 № 2524-р.</w:t>
      </w:r>
    </w:p>
  </w:footnote>
  <w:footnote w:id="2">
    <w:p w:rsidR="002E2D0F" w:rsidRPr="002E2D0F" w:rsidRDefault="002E2D0F">
      <w:pPr>
        <w:pStyle w:val="a8"/>
        <w:rPr>
          <w:rFonts w:ascii="Times New Roman" w:hAnsi="Times New Roman" w:cs="Times New Roman"/>
        </w:rPr>
      </w:pPr>
      <w:r w:rsidRPr="002E2D0F">
        <w:rPr>
          <w:rStyle w:val="aa"/>
          <w:rFonts w:ascii="Times New Roman" w:hAnsi="Times New Roman" w:cs="Times New Roman"/>
        </w:rPr>
        <w:footnoteRef/>
      </w:r>
      <w:r w:rsidRPr="002E2D0F">
        <w:rPr>
          <w:rFonts w:ascii="Times New Roman" w:hAnsi="Times New Roman" w:cs="Times New Roman"/>
        </w:rPr>
        <w:t xml:space="preserve"> С 1 апреля 2019 года размер социальной пенсии по старости составляет 5 283,84 рубля.</w:t>
      </w:r>
    </w:p>
  </w:footnote>
  <w:footnote w:id="3">
    <w:p w:rsidR="00557830" w:rsidRPr="00557830" w:rsidRDefault="00557830" w:rsidP="00557830">
      <w:pPr>
        <w:pStyle w:val="a8"/>
        <w:jc w:val="both"/>
        <w:rPr>
          <w:rFonts w:ascii="Times New Roman" w:hAnsi="Times New Roman" w:cs="Times New Roman"/>
        </w:rPr>
      </w:pPr>
      <w:r w:rsidRPr="002E2D0F">
        <w:rPr>
          <w:rStyle w:val="aa"/>
          <w:rFonts w:ascii="Times New Roman" w:hAnsi="Times New Roman" w:cs="Times New Roman"/>
        </w:rPr>
        <w:footnoteRef/>
      </w:r>
      <w:r w:rsidRPr="002E2D0F">
        <w:rPr>
          <w:rFonts w:ascii="Times New Roman" w:hAnsi="Times New Roman" w:cs="Times New Roman"/>
        </w:rPr>
        <w:t xml:space="preserve"> </w:t>
      </w:r>
      <w:r w:rsidR="004F4A3F" w:rsidRPr="002E2D0F">
        <w:rPr>
          <w:rFonts w:ascii="Times New Roman" w:hAnsi="Times New Roman" w:cs="Times New Roman"/>
        </w:rPr>
        <w:t>То есть, е</w:t>
      </w:r>
      <w:r w:rsidRPr="002E2D0F">
        <w:rPr>
          <w:rFonts w:ascii="Times New Roman" w:hAnsi="Times New Roman" w:cs="Times New Roman"/>
        </w:rPr>
        <w:t>сли индивидуальная ставка гарантийных взносов НПФ не превышает базовую ставку, НПФ вправе в полном объеме компенсировать расходы на выплату гарантийного взно</w:t>
      </w:r>
      <w:r w:rsidR="00D96449" w:rsidRPr="002E2D0F">
        <w:rPr>
          <w:rFonts w:ascii="Times New Roman" w:hAnsi="Times New Roman" w:cs="Times New Roman"/>
        </w:rPr>
        <w:t>са за счёт пенсионных резервов</w:t>
      </w:r>
      <w:r w:rsidR="004F4A3F" w:rsidRPr="002E2D0F">
        <w:rPr>
          <w:rFonts w:ascii="Times New Roman" w:hAnsi="Times New Roman" w:cs="Times New Roman"/>
        </w:rPr>
        <w:t>. При этом</w:t>
      </w:r>
      <w:r w:rsidR="00D96449" w:rsidRPr="002E2D0F">
        <w:rPr>
          <w:rFonts w:ascii="Times New Roman" w:hAnsi="Times New Roman" w:cs="Times New Roman"/>
        </w:rPr>
        <w:t xml:space="preserve"> е</w:t>
      </w:r>
      <w:r w:rsidRPr="002E2D0F">
        <w:rPr>
          <w:rFonts w:ascii="Times New Roman" w:hAnsi="Times New Roman" w:cs="Times New Roman"/>
        </w:rPr>
        <w:t>сли индивидуальная</w:t>
      </w:r>
      <w:r w:rsidRPr="00557830">
        <w:rPr>
          <w:rFonts w:ascii="Times New Roman" w:hAnsi="Times New Roman" w:cs="Times New Roman"/>
        </w:rPr>
        <w:t xml:space="preserve"> ставка гарантийных взносов НПФ превышает базовую ставку</w:t>
      </w:r>
      <w:r w:rsidR="004F4A3F" w:rsidRPr="004F4A3F">
        <w:t xml:space="preserve"> </w:t>
      </w:r>
      <w:r w:rsidR="004F4A3F" w:rsidRPr="004F4A3F">
        <w:rPr>
          <w:rFonts w:ascii="Times New Roman" w:hAnsi="Times New Roman" w:cs="Times New Roman"/>
        </w:rPr>
        <w:t>НПФ вправе компенсировать расходы на выплату гарантийного взноса за счёт пенсионных резервов</w:t>
      </w:r>
      <w:r w:rsidR="004F4A3F">
        <w:rPr>
          <w:rFonts w:ascii="Times New Roman" w:hAnsi="Times New Roman" w:cs="Times New Roman"/>
        </w:rPr>
        <w:t xml:space="preserve"> </w:t>
      </w:r>
      <w:r w:rsidRPr="00557830">
        <w:rPr>
          <w:rFonts w:ascii="Times New Roman" w:hAnsi="Times New Roman" w:cs="Times New Roman"/>
        </w:rPr>
        <w:t>в объеме не большем</w:t>
      </w:r>
      <w:r w:rsidR="00D96BF2">
        <w:rPr>
          <w:rFonts w:ascii="Times New Roman" w:hAnsi="Times New Roman" w:cs="Times New Roman"/>
        </w:rPr>
        <w:t>,</w:t>
      </w:r>
      <w:r w:rsidRPr="00557830">
        <w:rPr>
          <w:rFonts w:ascii="Times New Roman" w:hAnsi="Times New Roman" w:cs="Times New Roman"/>
        </w:rPr>
        <w:t xml:space="preserve"> чем</w:t>
      </w:r>
      <w:r>
        <w:rPr>
          <w:rFonts w:ascii="Times New Roman" w:hAnsi="Times New Roman" w:cs="Times New Roman"/>
        </w:rPr>
        <w:t xml:space="preserve"> величина произведения</w:t>
      </w:r>
      <w:r w:rsidRPr="00557830">
        <w:rPr>
          <w:rFonts w:ascii="Times New Roman" w:hAnsi="Times New Roman" w:cs="Times New Roman"/>
        </w:rPr>
        <w:t xml:space="preserve"> базов</w:t>
      </w:r>
      <w:r>
        <w:rPr>
          <w:rFonts w:ascii="Times New Roman" w:hAnsi="Times New Roman" w:cs="Times New Roman"/>
        </w:rPr>
        <w:t>ой ставки гарантийных взносов и</w:t>
      </w:r>
      <w:r w:rsidRPr="005578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величины</w:t>
      </w:r>
      <w:r w:rsidRPr="00557830">
        <w:rPr>
          <w:rFonts w:ascii="Times New Roman" w:hAnsi="Times New Roman" w:cs="Times New Roman"/>
        </w:rPr>
        <w:t xml:space="preserve"> обязательств НПФ по договорам НПО.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97229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B2E7A" w:rsidRPr="00CB2E7A" w:rsidRDefault="00CB2E7A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B2E7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B2E7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B2E7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3751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CB2E7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E7A" w:rsidRDefault="00CB2E7A" w:rsidP="00CB2E7A">
    <w:pPr>
      <w:jc w:val="right"/>
      <w:rPr>
        <w:rFonts w:ascii="Times New Roman" w:hAnsi="Times New Roman" w:cs="Times New Roman"/>
        <w:sz w:val="28"/>
        <w:szCs w:val="28"/>
      </w:rPr>
    </w:pPr>
    <w:r w:rsidRPr="002D0C9C">
      <w:rPr>
        <w:rFonts w:ascii="Times New Roman" w:hAnsi="Times New Roman" w:cs="Times New Roman"/>
        <w:sz w:val="28"/>
        <w:szCs w:val="28"/>
      </w:rPr>
      <w:t>Проект</w:t>
    </w:r>
  </w:p>
  <w:p w:rsidR="00CB2E7A" w:rsidRDefault="00CB2E7A" w:rsidP="00CB2E7A">
    <w:pPr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E4E39"/>
    <w:multiLevelType w:val="multilevel"/>
    <w:tmpl w:val="E80C9C5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F635E02"/>
    <w:multiLevelType w:val="hybridMultilevel"/>
    <w:tmpl w:val="78E2073C"/>
    <w:lvl w:ilvl="0" w:tplc="E8745F4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85C1C8A"/>
    <w:multiLevelType w:val="multilevel"/>
    <w:tmpl w:val="E80C9C5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3895766"/>
    <w:multiLevelType w:val="hybridMultilevel"/>
    <w:tmpl w:val="5E3A49BE"/>
    <w:lvl w:ilvl="0" w:tplc="C67635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B107435"/>
    <w:multiLevelType w:val="hybridMultilevel"/>
    <w:tmpl w:val="E180A560"/>
    <w:lvl w:ilvl="0" w:tplc="14DED368">
      <w:start w:val="1"/>
      <w:numFmt w:val="decimal"/>
      <w:lvlText w:val="%1)"/>
      <w:lvlJc w:val="left"/>
      <w:pPr>
        <w:ind w:left="891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F2869CC"/>
    <w:multiLevelType w:val="hybridMultilevel"/>
    <w:tmpl w:val="0DAE0DBA"/>
    <w:lvl w:ilvl="0" w:tplc="C67635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DCC23BC"/>
    <w:multiLevelType w:val="hybridMultilevel"/>
    <w:tmpl w:val="156C529C"/>
    <w:lvl w:ilvl="0" w:tplc="C676354A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7">
    <w:nsid w:val="6AEB14A5"/>
    <w:multiLevelType w:val="hybridMultilevel"/>
    <w:tmpl w:val="5E9CEE4A"/>
    <w:lvl w:ilvl="0" w:tplc="C676354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73013962"/>
    <w:multiLevelType w:val="hybridMultilevel"/>
    <w:tmpl w:val="2328270A"/>
    <w:lvl w:ilvl="0" w:tplc="C67635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8CE5B36"/>
    <w:multiLevelType w:val="hybridMultilevel"/>
    <w:tmpl w:val="EAF43BB8"/>
    <w:lvl w:ilvl="0" w:tplc="C67635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B9F620E"/>
    <w:multiLevelType w:val="multilevel"/>
    <w:tmpl w:val="F112011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F860382"/>
    <w:multiLevelType w:val="hybridMultilevel"/>
    <w:tmpl w:val="6C3A5030"/>
    <w:lvl w:ilvl="0" w:tplc="C676354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4"/>
  </w:num>
  <w:num w:numId="5">
    <w:abstractNumId w:val="7"/>
  </w:num>
  <w:num w:numId="6">
    <w:abstractNumId w:val="1"/>
  </w:num>
  <w:num w:numId="7">
    <w:abstractNumId w:val="9"/>
  </w:num>
  <w:num w:numId="8">
    <w:abstractNumId w:val="8"/>
  </w:num>
  <w:num w:numId="9">
    <w:abstractNumId w:val="5"/>
  </w:num>
  <w:num w:numId="10">
    <w:abstractNumId w:val="0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C9C"/>
    <w:rsid w:val="00010C39"/>
    <w:rsid w:val="000224A0"/>
    <w:rsid w:val="000431BC"/>
    <w:rsid w:val="000C3413"/>
    <w:rsid w:val="000E165D"/>
    <w:rsid w:val="00142F1C"/>
    <w:rsid w:val="00177038"/>
    <w:rsid w:val="00190DBF"/>
    <w:rsid w:val="001C14FC"/>
    <w:rsid w:val="001D07B4"/>
    <w:rsid w:val="001F2530"/>
    <w:rsid w:val="00201B5D"/>
    <w:rsid w:val="0020242E"/>
    <w:rsid w:val="002729E1"/>
    <w:rsid w:val="002B3F73"/>
    <w:rsid w:val="002B56FD"/>
    <w:rsid w:val="002D0C9C"/>
    <w:rsid w:val="002E2D0F"/>
    <w:rsid w:val="00315E64"/>
    <w:rsid w:val="003230DD"/>
    <w:rsid w:val="003443C4"/>
    <w:rsid w:val="00385F82"/>
    <w:rsid w:val="003A4FF5"/>
    <w:rsid w:val="003C372B"/>
    <w:rsid w:val="00422AB7"/>
    <w:rsid w:val="00436727"/>
    <w:rsid w:val="0043751C"/>
    <w:rsid w:val="00483666"/>
    <w:rsid w:val="00491B12"/>
    <w:rsid w:val="004B1C7F"/>
    <w:rsid w:val="004C47A4"/>
    <w:rsid w:val="004C58FC"/>
    <w:rsid w:val="004F4A3F"/>
    <w:rsid w:val="00547CB0"/>
    <w:rsid w:val="00557830"/>
    <w:rsid w:val="005E2D5D"/>
    <w:rsid w:val="00620260"/>
    <w:rsid w:val="00690521"/>
    <w:rsid w:val="006B0931"/>
    <w:rsid w:val="006B0F9C"/>
    <w:rsid w:val="006C205B"/>
    <w:rsid w:val="006E3008"/>
    <w:rsid w:val="006F2109"/>
    <w:rsid w:val="00740203"/>
    <w:rsid w:val="007A4224"/>
    <w:rsid w:val="007C33B7"/>
    <w:rsid w:val="007C3F94"/>
    <w:rsid w:val="00835788"/>
    <w:rsid w:val="00856FD9"/>
    <w:rsid w:val="008F1CE4"/>
    <w:rsid w:val="0091316C"/>
    <w:rsid w:val="009140CC"/>
    <w:rsid w:val="009636CC"/>
    <w:rsid w:val="009C6B3D"/>
    <w:rsid w:val="009D406A"/>
    <w:rsid w:val="00A07617"/>
    <w:rsid w:val="00A10788"/>
    <w:rsid w:val="00A20D5E"/>
    <w:rsid w:val="00A2670B"/>
    <w:rsid w:val="00A35C87"/>
    <w:rsid w:val="00A361D4"/>
    <w:rsid w:val="00A4743A"/>
    <w:rsid w:val="00A77628"/>
    <w:rsid w:val="00AB107B"/>
    <w:rsid w:val="00AC12B4"/>
    <w:rsid w:val="00AD7DB1"/>
    <w:rsid w:val="00B47054"/>
    <w:rsid w:val="00B82BBE"/>
    <w:rsid w:val="00BA5598"/>
    <w:rsid w:val="00BD34E6"/>
    <w:rsid w:val="00C0312D"/>
    <w:rsid w:val="00C31525"/>
    <w:rsid w:val="00C64413"/>
    <w:rsid w:val="00C931CF"/>
    <w:rsid w:val="00CA2F88"/>
    <w:rsid w:val="00CB2E7A"/>
    <w:rsid w:val="00CC0E9F"/>
    <w:rsid w:val="00CF1996"/>
    <w:rsid w:val="00CF4B87"/>
    <w:rsid w:val="00D14717"/>
    <w:rsid w:val="00D85402"/>
    <w:rsid w:val="00D96449"/>
    <w:rsid w:val="00D96BF2"/>
    <w:rsid w:val="00DA2C70"/>
    <w:rsid w:val="00DB7378"/>
    <w:rsid w:val="00DD0E19"/>
    <w:rsid w:val="00DD3F39"/>
    <w:rsid w:val="00DF2E3F"/>
    <w:rsid w:val="00E27F3B"/>
    <w:rsid w:val="00E607CA"/>
    <w:rsid w:val="00E724E3"/>
    <w:rsid w:val="00E92C12"/>
    <w:rsid w:val="00E944BA"/>
    <w:rsid w:val="00EC0913"/>
    <w:rsid w:val="00EE1D30"/>
    <w:rsid w:val="00EE78B6"/>
    <w:rsid w:val="00EF68EA"/>
    <w:rsid w:val="00F01495"/>
    <w:rsid w:val="00F111AA"/>
    <w:rsid w:val="00F177CF"/>
    <w:rsid w:val="00F61D74"/>
    <w:rsid w:val="00F82559"/>
    <w:rsid w:val="00F85289"/>
    <w:rsid w:val="00F90344"/>
    <w:rsid w:val="00F97962"/>
    <w:rsid w:val="00FA0121"/>
    <w:rsid w:val="00FC42A7"/>
    <w:rsid w:val="00FF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C9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B2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2E7A"/>
  </w:style>
  <w:style w:type="paragraph" w:styleId="a6">
    <w:name w:val="footer"/>
    <w:basedOn w:val="a"/>
    <w:link w:val="a7"/>
    <w:uiPriority w:val="99"/>
    <w:unhideWhenUsed/>
    <w:rsid w:val="00CB2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2E7A"/>
  </w:style>
  <w:style w:type="paragraph" w:styleId="a8">
    <w:name w:val="footnote text"/>
    <w:basedOn w:val="a"/>
    <w:link w:val="a9"/>
    <w:uiPriority w:val="99"/>
    <w:semiHidden/>
    <w:unhideWhenUsed/>
    <w:rsid w:val="00557830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557830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557830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010C3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10C3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10C39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10C3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10C39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010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010C3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C9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B2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2E7A"/>
  </w:style>
  <w:style w:type="paragraph" w:styleId="a6">
    <w:name w:val="footer"/>
    <w:basedOn w:val="a"/>
    <w:link w:val="a7"/>
    <w:uiPriority w:val="99"/>
    <w:unhideWhenUsed/>
    <w:rsid w:val="00CB2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2E7A"/>
  </w:style>
  <w:style w:type="paragraph" w:styleId="a8">
    <w:name w:val="footnote text"/>
    <w:basedOn w:val="a"/>
    <w:link w:val="a9"/>
    <w:uiPriority w:val="99"/>
    <w:semiHidden/>
    <w:unhideWhenUsed/>
    <w:rsid w:val="00557830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557830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557830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010C3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10C3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10C39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10C3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10C39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010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010C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B1C7A-B803-432F-B19D-6C461F6DB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1826</Words>
  <Characters>10410</Characters>
  <Application>Microsoft Office Word</Application>
  <DocSecurity>4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CBR</Company>
  <LinksUpToDate>false</LinksUpToDate>
  <CharactersWithSpaces>12212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Мараренко Глеб Вадимович</dc:creator>
  <cp:lastModifiedBy>Беляева Мария Владимировна</cp:lastModifiedBy>
  <cp:revision>2</cp:revision>
  <cp:lastPrinted>2019-10-03T07:46:00Z</cp:lastPrinted>
  <dcterms:created xsi:type="dcterms:W3CDTF">2019-10-23T06:57:00Z</dcterms:created>
  <dcterms:modified xsi:type="dcterms:W3CDTF">2019-10-23T06:57:00Z</dcterms:modified>
</cp:coreProperties>
</file>