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343" w:rsidRPr="00F95343" w:rsidRDefault="00F95343" w:rsidP="00F95343">
      <w:pPr>
        <w:spacing w:after="240" w:line="630" w:lineRule="atLeast"/>
        <w:textAlignment w:val="baseline"/>
        <w:outlineLvl w:val="0"/>
        <w:rPr>
          <w:rFonts w:ascii="Georgia" w:eastAsia="Times New Roman" w:hAnsi="Georgia" w:cs="Times New Roman"/>
          <w:b/>
          <w:bCs/>
          <w:kern w:val="36"/>
          <w:sz w:val="48"/>
          <w:szCs w:val="48"/>
          <w:lang w:eastAsia="ru-RU"/>
        </w:rPr>
      </w:pPr>
      <w:r w:rsidRPr="00F95343">
        <w:rPr>
          <w:rFonts w:ascii="Georgia" w:eastAsia="Times New Roman" w:hAnsi="Georgia" w:cs="Times New Roman"/>
          <w:b/>
          <w:bCs/>
          <w:kern w:val="36"/>
          <w:sz w:val="48"/>
          <w:szCs w:val="48"/>
          <w:lang w:eastAsia="ru-RU"/>
        </w:rPr>
        <w:t xml:space="preserve">Почему компаниям придется думать об экологии, </w:t>
      </w:r>
      <w:proofErr w:type="spellStart"/>
      <w:r w:rsidRPr="00F95343">
        <w:rPr>
          <w:rFonts w:ascii="Georgia" w:eastAsia="Times New Roman" w:hAnsi="Georgia" w:cs="Times New Roman"/>
          <w:b/>
          <w:bCs/>
          <w:kern w:val="36"/>
          <w:sz w:val="48"/>
          <w:szCs w:val="48"/>
          <w:lang w:eastAsia="ru-RU"/>
        </w:rPr>
        <w:t>социалке</w:t>
      </w:r>
      <w:proofErr w:type="spellEnd"/>
      <w:r w:rsidRPr="00F95343">
        <w:rPr>
          <w:rFonts w:ascii="Georgia" w:eastAsia="Times New Roman" w:hAnsi="Georgia" w:cs="Times New Roman"/>
          <w:b/>
          <w:bCs/>
          <w:kern w:val="36"/>
          <w:sz w:val="48"/>
          <w:szCs w:val="48"/>
          <w:lang w:eastAsia="ru-RU"/>
        </w:rPr>
        <w:t xml:space="preserve"> и публиковать нефинансовый отчет</w:t>
      </w:r>
    </w:p>
    <w:p w:rsidR="00F95343" w:rsidRPr="00F95343" w:rsidRDefault="00F95343" w:rsidP="00F95343">
      <w:pPr>
        <w:spacing w:after="6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Наша специализация — налоговый, корпоративный и банкротный комплаенс.&#10;&#10;В нашем блоге мы на понятном языке делимся знаниями и опытом о тонкостях налоговой оптимизации, рассказываем о корпоративной и банкротной практике.&#10;&#10;Автор и идейный вдохновитель блога – Антон Свирякин (руководитель проектов в сфере корпоративного управления и налогообложения бизнеса, практикующий юрист, основатель «Комплаенс Алгоритмы»)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B09390" id="Прямоугольник 2" o:spid="_x0000_s1026" alt="Наша специализация — налоговый, корпоративный и банкротный комплаенс.&#10;&#10;В нашем блоге мы на понятном языке делимся знаниями и опытом о тонкостях налоговой оптимизации, рассказываем о корпоративной и банкротной практике.&#10;&#10;Автор и идейный вдохновитель блога – Антон Свирякин (руководитель проектов в сфере корпоративного управления и налогообложения бизнеса, практикующий юрист, основатель «Комплаенс Алгоритмы»)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RzQuQoEEAADaCAAA&#10;DgAAAAAAAAAAAAAAAAAuAgAAZHJzL2Uyb0RvYy54bWxQSwECLQAUAAYACAAAACEATKDpLNgAAAAD&#10;AQAADwAAAAAAAAAAAAAAAADbBgAAZHJzL2Rvd25yZXYueG1sUEsFBgAAAAAEAAQA8wAAAOAHAAAA&#10;AA==&#10;" filled="f" stroked="f">
                <o:lock v:ext="edit" aspectratio="t"/>
                <w10:anchorlock/>
              </v:rect>
            </w:pict>
          </mc:Fallback>
        </mc:AlternateContent>
      </w:r>
      <w:hyperlink r:id="rId5" w:history="1">
        <w:proofErr w:type="spellStart"/>
        <w:r w:rsidRPr="00F9534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bdr w:val="none" w:sz="0" w:space="0" w:color="auto" w:frame="1"/>
            <w:lang w:eastAsia="ru-RU"/>
          </w:rPr>
          <w:t>Комплаенс</w:t>
        </w:r>
        <w:proofErr w:type="spellEnd"/>
        <w:r w:rsidRPr="00F9534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F9534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  <w:bdr w:val="none" w:sz="0" w:space="0" w:color="auto" w:frame="1"/>
            <w:lang w:eastAsia="ru-RU"/>
          </w:rPr>
          <w:t>Алгоритмы</w:t>
        </w:r>
      </w:hyperlink>
      <w:hyperlink r:id="rId6" w:history="1">
        <w:r w:rsidRPr="00F95343">
          <w:rPr>
            <w:rFonts w:ascii="Times New Roman" w:eastAsia="Times New Roman" w:hAnsi="Times New Roman" w:cs="Times New Roman"/>
            <w:color w:val="000000"/>
            <w:sz w:val="20"/>
            <w:szCs w:val="20"/>
            <w:bdr w:val="none" w:sz="0" w:space="0" w:color="auto" w:frame="1"/>
            <w:shd w:val="clear" w:color="auto" w:fill="F5F5F5"/>
            <w:lang w:eastAsia="ru-RU"/>
          </w:rPr>
          <w:t>Для</w:t>
        </w:r>
        <w:proofErr w:type="spellEnd"/>
        <w:r w:rsidRPr="00F95343">
          <w:rPr>
            <w:rFonts w:ascii="Times New Roman" w:eastAsia="Times New Roman" w:hAnsi="Times New Roman" w:cs="Times New Roman"/>
            <w:color w:val="000000"/>
            <w:sz w:val="20"/>
            <w:szCs w:val="20"/>
            <w:bdr w:val="none" w:sz="0" w:space="0" w:color="auto" w:frame="1"/>
            <w:shd w:val="clear" w:color="auto" w:fill="F5F5F5"/>
            <w:lang w:eastAsia="ru-RU"/>
          </w:rPr>
          <w:t xml:space="preserve"> </w:t>
        </w:r>
        <w:proofErr w:type="spellStart"/>
        <w:r w:rsidRPr="00F95343">
          <w:rPr>
            <w:rFonts w:ascii="Times New Roman" w:eastAsia="Times New Roman" w:hAnsi="Times New Roman" w:cs="Times New Roman"/>
            <w:color w:val="000000"/>
            <w:sz w:val="20"/>
            <w:szCs w:val="20"/>
            <w:bdr w:val="none" w:sz="0" w:space="0" w:color="auto" w:frame="1"/>
            <w:shd w:val="clear" w:color="auto" w:fill="F5F5F5"/>
            <w:lang w:eastAsia="ru-RU"/>
          </w:rPr>
          <w:t>рубрики</w:t>
        </w:r>
        <w:r w:rsidRPr="00F95343">
          <w:rPr>
            <w:rFonts w:ascii="Times New Roman" w:eastAsia="Times New Roman" w:hAnsi="Times New Roman" w:cs="Times New Roman"/>
            <w:color w:val="5A8CF1"/>
            <w:sz w:val="20"/>
            <w:szCs w:val="20"/>
            <w:bdr w:val="none" w:sz="0" w:space="0" w:color="auto" w:frame="1"/>
            <w:shd w:val="clear" w:color="auto" w:fill="F5F5F5"/>
            <w:lang w:eastAsia="ru-RU"/>
          </w:rPr>
          <w:t>Свой</w:t>
        </w:r>
        <w:proofErr w:type="spellEnd"/>
        <w:r w:rsidRPr="00F95343">
          <w:rPr>
            <w:rFonts w:ascii="Times New Roman" w:eastAsia="Times New Roman" w:hAnsi="Times New Roman" w:cs="Times New Roman"/>
            <w:color w:val="5A8CF1"/>
            <w:sz w:val="20"/>
            <w:szCs w:val="20"/>
            <w:bdr w:val="none" w:sz="0" w:space="0" w:color="auto" w:frame="1"/>
            <w:shd w:val="clear" w:color="auto" w:fill="F5F5F5"/>
            <w:lang w:eastAsia="ru-RU"/>
          </w:rPr>
          <w:t xml:space="preserve"> бизнес</w:t>
        </w:r>
      </w:hyperlink>
    </w:p>
    <w:p w:rsidR="00F95343" w:rsidRPr="00F95343" w:rsidRDefault="00F95343" w:rsidP="00F9534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comments" w:history="1">
        <w:r w:rsidRPr="00F95343">
          <w:rPr>
            <w:rFonts w:ascii="Times New Roman" w:eastAsia="Times New Roman" w:hAnsi="Times New Roman" w:cs="Times New Roman"/>
            <w:color w:val="000000"/>
            <w:sz w:val="24"/>
            <w:szCs w:val="24"/>
            <w:bdr w:val="none" w:sz="0" w:space="0" w:color="auto" w:frame="1"/>
            <w:lang w:eastAsia="ru-RU"/>
          </w:rPr>
          <w:t>Комментировать</w:t>
        </w:r>
      </w:hyperlink>
    </w:p>
    <w:p w:rsidR="00F95343" w:rsidRPr="00F95343" w:rsidRDefault="00F95343" w:rsidP="00F9534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Открыть окно выбора социальных сетей для </w:t>
      </w:r>
      <w:proofErr w:type="spellStart"/>
      <w:r w:rsidRPr="00F953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шаринга</w:t>
      </w:r>
      <w:proofErr w:type="spellEnd"/>
      <w:r w:rsidRPr="00F953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материала</w:t>
      </w:r>
    </w:p>
    <w:p w:rsidR="00F95343" w:rsidRPr="00F95343" w:rsidRDefault="00F95343" w:rsidP="00F95343">
      <w:pPr>
        <w:spacing w:after="240" w:line="420" w:lineRule="atLeast"/>
        <w:textAlignment w:val="baseline"/>
        <w:rPr>
          <w:rFonts w:ascii="Arial" w:eastAsia="Times New Roman" w:hAnsi="Arial" w:cs="Arial"/>
          <w:color w:val="0A0A0A"/>
          <w:sz w:val="27"/>
          <w:szCs w:val="27"/>
          <w:lang w:eastAsia="ru-RU"/>
        </w:rPr>
      </w:pPr>
      <w:r w:rsidRPr="00F95343">
        <w:rPr>
          <w:rFonts w:ascii="Arial" w:eastAsia="Times New Roman" w:hAnsi="Arial" w:cs="Arial"/>
          <w:noProof/>
          <w:color w:val="0A0A0A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www.klerk.ru/ugc/blogPost/a053e66626a0e29552392553f08a780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6FDC2C" id="Прямоугольник 1" o:spid="_x0000_s1026" alt="https://www.klerk.ru/ugc/blogPost/a053e66626a0e29552392553f08a780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DJ8VqIXAwAAFw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Банк России выбрал для российских компаний «бирюзовую» модель развития через «мягкое право».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Перманентные кризисные явления в экономике не являются препятствием для Банка России в работе по повышению уровня культуры российского корпоративного управления. Во время активной фазы «пандемического» кризиса в 2020 году регулятор уже предлагал публичным компаниям задуматься </w:t>
      </w:r>
      <w:hyperlink r:id="rId8" w:tgtFrame="_blank" w:history="1"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о формировании культуры преемственности в советах директоров</w:t>
        </w:r>
      </w:hyperlink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. 2021 год не стал исключением и регулятор продолжил тренд на удивление и «заражение» профессионального сообщества новыми кристально благородными идеями по улучшению качества корпоративного управления в России и повышению уровня его культуры.</w:t>
      </w:r>
    </w:p>
    <w:p w:rsidR="00F95343" w:rsidRPr="00F95343" w:rsidRDefault="00F95343" w:rsidP="0047092D">
      <w:pPr>
        <w:shd w:val="clear" w:color="auto" w:fill="FFFDD2"/>
        <w:spacing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19 июля 2021 года Банком России было опубликовано </w:t>
      </w:r>
      <w:hyperlink r:id="rId9" w:tgtFrame="_blank" w:history="1"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Информационное письмо о рекомендациях по раскрытию публичными акционерными обществами нефинансовой информации, связанной с деятельностью таких обществ от 12.07.2021 № ИН-06-28/49</w:t>
        </w:r>
      </w:hyperlink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(далее — Рекомендации).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Из названия и содержания документа видно, что он прежде всего ориентирован на публичные компании, но не исключает и добровольное применение предлагаемых им стандартов непубличными компаниями. Банк России решил не оставаться в стороне от, ставшей в последнее время «</w:t>
      </w:r>
      <w:proofErr w:type="spell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хайповой</w:t>
      </w:r>
      <w:proofErr w:type="spell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», хотя и не новой темы ответственного инвестирования на основе учета ESG-факторов.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Банка России в своих </w:t>
      </w:r>
      <w:hyperlink r:id="rId10" w:tgtFrame="_blank" w:history="1"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рекомендациях</w:t>
        </w:r>
      </w:hyperlink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дает понятие ответственному инвестированию и раскрывает его содержание. В понимании нашего регулятора 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 xml:space="preserve">ответственное инвестирование — это концептуальный подход 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lastRenderedPageBreak/>
        <w:t>к инвестированию, основанный в том числе на учете в инвестиционной деятельности, осуществлении оценки и мониторинга объектов инвестиций факторов, связанных с окружающей средой (в том числе экологических факторов и факторов, связанных с изменением климата), обществом (социальные факторы) и корпоративным управлением (ESG-факторы), рисков и возможностей, которые указанные факторы создают для объектов инвестиций, а также в добросовестном осуществлении прав акционера и взаимодействии с обществами — объектами инвестиций.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Ответственное инвестирование для институциональных инвесторов отвечает фидуциарным обязанностям действовать добросовестно и разумно в интересах своих клиентов и выгодоприобретателей, способствуя повышению надежности и доходности инвестиций для указанных лиц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after="0" w:line="51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A0A0A"/>
          <w:sz w:val="42"/>
          <w:szCs w:val="42"/>
          <w:lang w:eastAsia="ru-RU"/>
        </w:rPr>
      </w:pPr>
      <w:r w:rsidRPr="0047092D">
        <w:rPr>
          <w:rFonts w:ascii="Times New Roman" w:eastAsia="Times New Roman" w:hAnsi="Times New Roman" w:cs="Times New Roman"/>
          <w:b/>
          <w:bCs/>
          <w:color w:val="0A0A0A"/>
          <w:sz w:val="42"/>
          <w:szCs w:val="42"/>
          <w:bdr w:val="none" w:sz="0" w:space="0" w:color="auto" w:frame="1"/>
          <w:lang w:eastAsia="ru-RU"/>
        </w:rPr>
        <w:t>Краткая предыстория вопроса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Прежде чем переходить к разбору того, а что же такое нефинансовая информация и как публичным компаниям ее раскрывать, рассмотрим предысторию вопроса. В качестве исторической справки следует напомнить, что термин ESG был введен в оборот еще в 2004 году и впервые упомянут в докладе ООН </w:t>
      </w:r>
      <w:hyperlink r:id="rId11" w:tgtFrame="_blank" w:history="1"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«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Who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Cares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Wins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. 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Connecting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Financial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Markets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to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 a 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Changing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»</w:t>
        </w:r>
      </w:hyperlink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Семнадцать лет понадобилось нашему регулятору, чтобы воспринять идеи того доклада и предложить нашим публичным компаниям рассказывать всем о ESG-факторах, которые возникают в их работе.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Не будем излишне предвзятыми к нашему регулятору и справедливости ради обратим внимание, что на «высоком» уровне обсуждение вопроса об обязанности публичных компаний раскрывать ESG-информацию велось и раньше. Концепция развития публичной нефинансовой отчетности существует с 2017 года (Распоряжение Правительства РФ от 5 мая 2017 г. № 876-р), а позже и в авторитетных деловых СМИ неоднократно появлялись соответствующие </w:t>
      </w:r>
      <w:proofErr w:type="spell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инфоповоды</w:t>
      </w:r>
      <w:proofErr w:type="spell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.</w:t>
      </w:r>
    </w:p>
    <w:p w:rsidR="00F95343" w:rsidRPr="00F95343" w:rsidRDefault="00F95343" w:rsidP="0047092D">
      <w:pPr>
        <w:spacing w:after="0" w:line="51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A0A0A"/>
          <w:sz w:val="42"/>
          <w:szCs w:val="42"/>
          <w:lang w:eastAsia="ru-RU"/>
        </w:rPr>
      </w:pPr>
      <w:r w:rsidRPr="0047092D">
        <w:rPr>
          <w:rFonts w:ascii="Times New Roman" w:eastAsia="Times New Roman" w:hAnsi="Times New Roman" w:cs="Times New Roman"/>
          <w:b/>
          <w:bCs/>
          <w:color w:val="0A0A0A"/>
          <w:sz w:val="42"/>
          <w:szCs w:val="42"/>
          <w:bdr w:val="none" w:sz="0" w:space="0" w:color="auto" w:frame="1"/>
          <w:lang w:eastAsia="ru-RU"/>
        </w:rPr>
        <w:t>Рекомендации по раскрытию нефинансовой информации (ESG-информации)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lastRenderedPageBreak/>
        <w:t>Итак, вернемся к нашему основному вопросу, как и каким образом, в видении Банка России, должна раскрываться ESG-информация российскими публичными компаниями.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Порядку и срокам раскрытия ESG-информации посвящен </w:t>
      </w:r>
      <w:hyperlink r:id="rId12" w:tgtFrame="_blank" w:history="1"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раздел 7 рекомендаций</w:t>
        </w:r>
      </w:hyperlink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Банка России. Рассмотрим ключевые моменты:</w:t>
      </w:r>
    </w:p>
    <w:p w:rsidR="00F95343" w:rsidRPr="00F95343" w:rsidRDefault="00F95343" w:rsidP="0047092D">
      <w:pPr>
        <w:numPr>
          <w:ilvl w:val="0"/>
          <w:numId w:val="1"/>
        </w:numPr>
        <w:spacing w:after="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Во-первых</w:t>
      </w: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период за который публичная компания раскрывает информацию — 12 месяцев.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Для обеспечения сопоставимости нефинансовой информации с финансовой отчетностью общества и иной информацией, раскрываемой Обществом, в качестве отчетного периода для раскрытия нефинансовой информации (отчетным годом) рекомендуется использовать календарный год с 1 января по 31 декабря включительно, если уставом Общества не установлены иные даты начала и окончания отчетного года для консолидированной финансовой отчетности при условии, что его продолжительность равна продолжительности календарного года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numPr>
          <w:ilvl w:val="0"/>
          <w:numId w:val="2"/>
        </w:numPr>
        <w:spacing w:after="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Во-вторых</w:t>
      </w: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ESG-информацию рекомендуется включать в годовой отчет публичной компании, но, при этом, компания вправе самостоятельно определять документ и формат раскрытия такой информации.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В случае если Общество осуществляет раскрытие нефинансовой информации в форме Нефинансового отчета, такой отчет рекомендуется раскрывать на странице Общества в сети Интернет в срок, не превышающий срок, установленный для раскрытия годового отчета Общества, предусмотренный законодательством Российской Федерации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numPr>
          <w:ilvl w:val="0"/>
          <w:numId w:val="3"/>
        </w:numPr>
        <w:spacing w:after="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Во-третьих</w:t>
      </w: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утверждение нефинансового отчета рекомендуется отнести к компетенции совета директоров компании.</w:t>
      </w:r>
    </w:p>
    <w:p w:rsidR="00F95343" w:rsidRPr="00F95343" w:rsidRDefault="00F95343" w:rsidP="0047092D">
      <w:pPr>
        <w:numPr>
          <w:ilvl w:val="0"/>
          <w:numId w:val="3"/>
        </w:numPr>
        <w:spacing w:after="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В-четвертых</w:t>
      </w: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публичной компании рекомендуется обеспечить доступность ESG-информации любым заинтересованным лицам в течение не менее трех лет с даты публикации такой информации.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Обществу рекомендуется обеспечить доступность текста Нефинансового отчета Общества на странице Общества в информационно-телекоммуникационной сети Интернет в течение не менее трех лет с даты его опубликования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Также рекомендуется, если это применимо, осуществлять раскрытие Нефинансового отчета путем его опубликования на странице в информационно-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lastRenderedPageBreak/>
        <w:t>телекоммуникационной сети Интернет, предоставляемой информационным агентством, аккредитованным Банком России на проведение действий по раскрытию информации о ценных бумагах и об иных финансовых инструментах, используемой Обществом для раскрытия информации в соответствии с законодательством о ценных бумагах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С порядком и сроками все предельно понятно. Рассмотрим, что должно содержаться в нефинансовом отчете и какими принципами должны руководствоваться компании при раскрытии ESG-информации.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В </w:t>
      </w:r>
      <w:hyperlink r:id="rId13" w:tgtFrame="_blank" w:history="1"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разделе 4 рекомендаций</w:t>
        </w:r>
      </w:hyperlink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Банком России сформулировано </w:t>
      </w:r>
      <w:r w:rsidRPr="0047092D">
        <w:rPr>
          <w:rFonts w:ascii="Times New Roman" w:eastAsia="Times New Roman" w:hAnsi="Times New Roman" w:cs="Times New Roman"/>
          <w:b/>
          <w:bCs/>
          <w:color w:val="0A0A0A"/>
          <w:sz w:val="27"/>
          <w:szCs w:val="27"/>
          <w:bdr w:val="none" w:sz="0" w:space="0" w:color="auto" w:frame="1"/>
          <w:lang w:eastAsia="ru-RU"/>
        </w:rPr>
        <w:t>пять принципов раскрытия ESG-информации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: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1) Принцип объективности и простоты восприятия ESG-информации (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Принцип 1.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Объективное, сбалансированное по составу и простое для восприятия представление информации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»).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В рамках раскрытия ESG-информации регулятор рекомендует избегать оценочных суждений и мнений и руководствоваться только фактами, излагать ее простым языком и с использованием единого тезауруса, не использовать общие фразы и сложные для восприятия технические термины, а в случае использования технической терминологии рекомендуется давать пояснения и раскрывать содержание технических терминов;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2) Принцип полноты и достаточности раскрытия ESG-информации (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Принцип 2.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Необходимый и достаточный объем раскрываемой информации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»).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Регулятор рекомендует 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обеспечить такой объем раскрытия информации, который позволит заинтересованным лицам получить полное представление о воздействии деятельности Общества на окружающую среду (в том числе климат), социальную сферу (в том числе соблюдение прав человека) и экономику, представление об учете ESG-факторов, а также рисков и возможностей, связанных с указанными факторами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3) Долгосрочное стратегические планирование — приоритет для публичных компания (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Принцип 3.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Ориентация раскрытия нефинансовой информации на будущее и стратегические цели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»).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В раскрываемую ESG-информацию регулятора рекомендует 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 xml:space="preserve">включать информацию о миссии, бизнес-модели Общества, о его стратегии и целях, 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lastRenderedPageBreak/>
        <w:t xml:space="preserve">о их реализации, а также описание кратко-, средне- и долгосрочных перспектив развития Общества </w:t>
      </w:r>
      <w:proofErr w:type="gramStart"/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в рамках</w:t>
      </w:r>
      <w:proofErr w:type="gramEnd"/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 xml:space="preserve"> отобранных для целей раскрытия нефинансовой информации существенных тем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4) ESG-информации должна быть доступна любым заинтересованным в ней лицам (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Принцип 4.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Ориентация при раскрытии нефинансовой информации на заинтересованных лиц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»).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В перечень заинтересованных лиц для целей раскрытия нефинансовой информации рекомендуется, где это возможно, включать акционеров, инвесторов, работников, потребителей, поставщиков, местные сообщества, органы власти, социальных партнеров (например, профсоюзы и объединения работодателей), гражданское общество и иных лиц, которые, по мнению Общества, могут являться заинтересованными лицами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5) Принцип последовательности и сопоставимости раскрываемой ESG-информации с иной обязательной для раскрытия публичной компаний информации (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Принцип 5.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Последовательность и сопоставимость раскрываемой нефинансовой информации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»).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Последовательность в видении регулятора состоит в том, что в случае если какой-то из показателей перестает быть актуальным для целей раскрытия ESG-информации или меняется методология определения какого-либо показателя, то рекомендуется раскрывать информацию о таких изменениях, причинах таких изменений и эффектах, которых планируется достичь благодаря таким изменениям. Сопоставимость раскрываемой ESG-информации состоит в том, что раскрытие такой информации должно осуществляться так, чтобы она дополняла раскрытую в иных документах компании информацию и не противоречила ей.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hyperlink r:id="rId14" w:tgtFrame="_blank" w:history="1"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Раздел 5 рекомендаций</w:t>
        </w:r>
      </w:hyperlink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Банка России говорит нам, какую именно информацию необходимо раскрывать. Регулятор предлагает компаниям </w:t>
      </w:r>
      <w:r w:rsidRPr="0047092D">
        <w:rPr>
          <w:rFonts w:ascii="Times New Roman" w:eastAsia="Times New Roman" w:hAnsi="Times New Roman" w:cs="Times New Roman"/>
          <w:b/>
          <w:bCs/>
          <w:color w:val="0A0A0A"/>
          <w:sz w:val="27"/>
          <w:szCs w:val="27"/>
          <w:bdr w:val="none" w:sz="0" w:space="0" w:color="auto" w:frame="1"/>
          <w:lang w:eastAsia="ru-RU"/>
        </w:rPr>
        <w:t>раскрывать следующее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:</w:t>
      </w:r>
    </w:p>
    <w:p w:rsidR="00F95343" w:rsidRPr="00F95343" w:rsidRDefault="00F95343" w:rsidP="0047092D">
      <w:pPr>
        <w:numPr>
          <w:ilvl w:val="0"/>
          <w:numId w:val="4"/>
        </w:numPr>
        <w:spacing w:after="18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Стратегию устойчивого развития компании;</w:t>
      </w:r>
    </w:p>
    <w:p w:rsidR="00F95343" w:rsidRPr="00F95343" w:rsidRDefault="00F95343" w:rsidP="0047092D">
      <w:pPr>
        <w:numPr>
          <w:ilvl w:val="0"/>
          <w:numId w:val="4"/>
        </w:numPr>
        <w:spacing w:after="18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 о корпоративном управлении в компании;</w:t>
      </w:r>
    </w:p>
    <w:p w:rsidR="00F95343" w:rsidRPr="00F95343" w:rsidRDefault="00F95343" w:rsidP="0047092D">
      <w:pPr>
        <w:numPr>
          <w:ilvl w:val="0"/>
          <w:numId w:val="4"/>
        </w:numPr>
        <w:spacing w:after="18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Бизнес-модель;</w:t>
      </w:r>
    </w:p>
    <w:p w:rsidR="00F95343" w:rsidRPr="00F95343" w:rsidRDefault="00F95343" w:rsidP="0047092D">
      <w:pPr>
        <w:numPr>
          <w:ilvl w:val="0"/>
          <w:numId w:val="4"/>
        </w:numPr>
        <w:spacing w:after="18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Сведения о политиках и процедурах компании, связанных с устойчивым развитием;</w:t>
      </w:r>
    </w:p>
    <w:p w:rsidR="00F95343" w:rsidRPr="00F95343" w:rsidRDefault="00F95343" w:rsidP="0047092D">
      <w:pPr>
        <w:numPr>
          <w:ilvl w:val="0"/>
          <w:numId w:val="4"/>
        </w:numPr>
        <w:spacing w:after="18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Результаты реализации таких политик и процедур;</w:t>
      </w:r>
    </w:p>
    <w:p w:rsidR="00F95343" w:rsidRPr="00F95343" w:rsidRDefault="00F95343" w:rsidP="0047092D">
      <w:pPr>
        <w:numPr>
          <w:ilvl w:val="0"/>
          <w:numId w:val="4"/>
        </w:numPr>
        <w:spacing w:after="18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Основные риски и возможности;</w:t>
      </w:r>
    </w:p>
    <w:p w:rsidR="00F95343" w:rsidRPr="00F95343" w:rsidRDefault="00F95343" w:rsidP="0047092D">
      <w:pPr>
        <w:numPr>
          <w:ilvl w:val="0"/>
          <w:numId w:val="4"/>
        </w:numPr>
        <w:spacing w:after="18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Ключевые нефинансовые показателях эффективности деятельности компании;</w:t>
      </w:r>
    </w:p>
    <w:p w:rsidR="00F95343" w:rsidRPr="00F95343" w:rsidRDefault="00F95343" w:rsidP="0047092D">
      <w:pPr>
        <w:numPr>
          <w:ilvl w:val="0"/>
          <w:numId w:val="4"/>
        </w:numPr>
        <w:spacing w:after="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Существенные темы в области ESG, связанные с деятельностью компании (экологические аспекты деятельности компании, социальные аспекты деятельности и вопросы взаимодействия с работниками, уважение прав человека, борьба с коррупцией, коммерческим подкупом и подкупом иностранных должностных лиц, цепочки поставок).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Кроме соблюдения порядка, сроков, принципов формирования и требований к содержанию ESG-информации Банк России также 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проводить независимую внешнюю оценку нефинансовой информации, раскрываемой в годовом отчете акционерного общества или в Нефинансовом отчете в форме профессионального подтверждения (заверения)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 Как указывает Банк России делается это 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в целях повышения доверия заинтересованных лиц к деятельности Общества и раскрываемой им нефинансовой информации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Рассмотренная выше рекомендация регулятора выглядит вполне логичной, ведь раскрытие публичной ESG-информации должно быть не ради «галочки», а для формирования положительного образа компании и повышения уровня доверия к ней в глазах общества. Для этого регулятор и предлагает проводить такую оценку 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в том числе с привлечением аудиторской организации (аудитора)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 и в последующем 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приводить основания, по которым такая внешняя оценка нефинансовой информации признана независимой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after="0" w:line="51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A0A0A"/>
          <w:sz w:val="42"/>
          <w:szCs w:val="42"/>
          <w:lang w:eastAsia="ru-RU"/>
        </w:rPr>
      </w:pPr>
      <w:r w:rsidRPr="0047092D">
        <w:rPr>
          <w:rFonts w:ascii="Times New Roman" w:eastAsia="Times New Roman" w:hAnsi="Times New Roman" w:cs="Times New Roman"/>
          <w:b/>
          <w:bCs/>
          <w:color w:val="0A0A0A"/>
          <w:sz w:val="42"/>
          <w:szCs w:val="42"/>
          <w:bdr w:val="none" w:sz="0" w:space="0" w:color="auto" w:frame="1"/>
          <w:lang w:eastAsia="ru-RU"/>
        </w:rPr>
        <w:t>«Бирюзовая» модель развития через «мягкое право»: выводы и итоги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Первое мнение по всему вышесказанному: «Обо всем и ни о чем. Звучит красиво, но, в условиях „</w:t>
      </w:r>
      <w:proofErr w:type="spellStart"/>
      <w:proofErr w:type="gram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слаборазвитости</w:t>
      </w:r>
      <w:proofErr w:type="spell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“ корпоративного</w:t>
      </w:r>
      <w:proofErr w:type="gram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 управления в России и общего низкого уровня культурного развития нашего российского бизнеса, напоминает простую имитацию регулятором своей бурной деятельности».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Данные рекомендации очень напоминают дешевую попытку показать (или навязать) тренд на </w:t>
      </w:r>
      <w:proofErr w:type="spell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бирюзовость</w:t>
      </w:r>
      <w:proofErr w:type="spell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. Видимо регулятору больше нечем </w:t>
      </w:r>
      <w:proofErr w:type="gram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заняться</w:t>
      </w:r>
      <w:proofErr w:type="gram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 и он решил поиграть в главного транслятора бирюзовых идей, вспомнив, что 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lastRenderedPageBreak/>
        <w:t>бирюзовый уровень — это объединение всех людей в единое духовное целое с ориентацией на такие приоритеты, как забота об окружающем мире, простота жизни и уважение к людям и организациям, находящимся на любом уровне культурного развития и решил поиграть в великого благодетеля. Ответственное инвестирование и </w:t>
      </w:r>
      <w:proofErr w:type="spell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экологичное</w:t>
      </w:r>
      <w:proofErr w:type="spell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 поведение — неотъемлемые признаки бирюзовых организаций и бирюзового уровня культурного развития, которыми грезят наши либеральные представители финансовых властей, начитавшиеся умных книг.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Эволюционный путь развития отдельного человека, групп людей и общества в целом детально описаны К. </w:t>
      </w:r>
      <w:proofErr w:type="spell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Грейвзом</w:t>
      </w:r>
      <w:proofErr w:type="spell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 в книге «Спиральная динамика на практике». А бирюзовые организации, о которых упомянуто выше, это организации будущего из</w:t>
      </w:r>
      <w:bookmarkStart w:id="0" w:name="_GoBack"/>
      <w:bookmarkEnd w:id="0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 парадигмы деления организаций по цветам, предложенной Ф. Лалу.</w:t>
      </w:r>
    </w:p>
    <w:p w:rsidR="00F95343" w:rsidRPr="00F95343" w:rsidRDefault="00F95343" w:rsidP="0047092D">
      <w:pPr>
        <w:spacing w:before="240" w:after="24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Ф. Лалу в своей книге «Открывая организации будущего» говорит нам о следующем:</w:t>
      </w:r>
    </w:p>
    <w:p w:rsidR="00F95343" w:rsidRPr="00F95343" w:rsidRDefault="00F95343" w:rsidP="0047092D">
      <w:pPr>
        <w:numPr>
          <w:ilvl w:val="0"/>
          <w:numId w:val="5"/>
        </w:numPr>
        <w:spacing w:after="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Важно не что делают Бирюзовые организации, а как они это делают, это совершенно иной подход к проблемам окружающей среды и социальным проблемам</w:t>
      </w: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»;</w:t>
      </w:r>
    </w:p>
    <w:p w:rsidR="00F95343" w:rsidRPr="00F95343" w:rsidRDefault="00F95343" w:rsidP="0047092D">
      <w:pPr>
        <w:numPr>
          <w:ilvl w:val="0"/>
          <w:numId w:val="5"/>
        </w:numPr>
        <w:spacing w:after="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Для Бирюзового мировоззрения дело всегда начинается с внутренней убежденности в его правоте</w:t>
      </w: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»;</w:t>
      </w:r>
    </w:p>
    <w:p w:rsidR="00F95343" w:rsidRPr="00F95343" w:rsidRDefault="00F95343" w:rsidP="0047092D">
      <w:pPr>
        <w:numPr>
          <w:ilvl w:val="0"/>
          <w:numId w:val="5"/>
        </w:numPr>
        <w:spacing w:after="0" w:line="42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Второе отличие подхода Бирюзовых организаций к взаимодействиям с обществом и окружающей средой связано с самоуправлением. Как сотрудники мы можем быть искренне озабочены состоянием окружающей среды и взаимоотношениями с местным сообществом, но в традиционных организациях наше беспокойство редко воплощается в действия компании. Слишком часто мы занимаемся </w:t>
      </w:r>
      <w:proofErr w:type="spellStart"/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самоцензурой</w:t>
      </w:r>
      <w:proofErr w:type="spellEnd"/>
      <w:r w:rsidRPr="0047092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, слишком часто мы отказываемся сражаться за наши идеалы в страхе приобрести клеймо мечтателя, активиста или нарушителя спокойствия. По этой причине инициативы, касающиеся социальных и экологических проблем, редко всплывают на поверхность изнутри жизни в организации, они почти всегда спущены сверху</w:t>
      </w:r>
      <w:r w:rsidRPr="00F95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В общем говоря, </w:t>
      </w:r>
      <w:proofErr w:type="spell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экологичность</w:t>
      </w:r>
      <w:proofErr w:type="spell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 компании не может существовать без развитого самоуправления. </w:t>
      </w:r>
      <w:proofErr w:type="spellStart"/>
      <w:r w:rsidRPr="0047092D">
        <w:rPr>
          <w:rFonts w:ascii="Times New Roman" w:eastAsia="Times New Roman" w:hAnsi="Times New Roman" w:cs="Times New Roman"/>
          <w:b/>
          <w:bCs/>
          <w:color w:val="0A0A0A"/>
          <w:sz w:val="27"/>
          <w:szCs w:val="27"/>
          <w:bdr w:val="none" w:sz="0" w:space="0" w:color="auto" w:frame="1"/>
          <w:lang w:eastAsia="ru-RU"/>
        </w:rPr>
        <w:t>Экологичность</w:t>
      </w:r>
      <w:proofErr w:type="spellEnd"/>
      <w:r w:rsidRPr="0047092D">
        <w:rPr>
          <w:rFonts w:ascii="Times New Roman" w:eastAsia="Times New Roman" w:hAnsi="Times New Roman" w:cs="Times New Roman"/>
          <w:b/>
          <w:bCs/>
          <w:color w:val="0A0A0A"/>
          <w:sz w:val="27"/>
          <w:szCs w:val="27"/>
          <w:bdr w:val="none" w:sz="0" w:space="0" w:color="auto" w:frame="1"/>
          <w:lang w:eastAsia="ru-RU"/>
        </w:rPr>
        <w:t xml:space="preserve"> поведения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 — это то, чему надо учить детей с малых лет, а не навязывать её, прыгая через головы бизнеса, подкидывая ему 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lastRenderedPageBreak/>
        <w:t>непонятные рекомендации. Навязывать практики развитого самоуправления — дело неблагодарное. Самоуправлению тоже принято учить с детства.</w:t>
      </w:r>
    </w:p>
    <w:p w:rsidR="00F95343" w:rsidRPr="00F95343" w:rsidRDefault="00F95343" w:rsidP="0047092D">
      <w:pPr>
        <w:spacing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Позитивные моменты тоже имеют место быть. Стоит согласиться с </w:t>
      </w:r>
      <w:hyperlink r:id="rId15" w:tgtFrame="_blank" w:history="1"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мнением генерального директора компании </w:t>
        </w:r>
        <w:proofErr w:type="spellStart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>EcoDisclosure</w:t>
        </w:r>
        <w:proofErr w:type="spellEnd"/>
        <w:r w:rsidRPr="0047092D">
          <w:rPr>
            <w:rFonts w:ascii="Times New Roman" w:eastAsia="Times New Roman" w:hAnsi="Times New Roman" w:cs="Times New Roman"/>
            <w:color w:val="5A8CF1"/>
            <w:sz w:val="27"/>
            <w:szCs w:val="27"/>
            <w:u w:val="single"/>
            <w:bdr w:val="none" w:sz="0" w:space="0" w:color="auto" w:frame="1"/>
            <w:lang w:eastAsia="ru-RU"/>
          </w:rPr>
          <w:t xml:space="preserve"> М. Дмитриевой</w:t>
        </w:r>
      </w:hyperlink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: «</w:t>
      </w:r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 xml:space="preserve">В любом случае данные рекомендации являются примером „мягкого </w:t>
      </w:r>
      <w:proofErr w:type="gramStart"/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права“ и</w:t>
      </w:r>
      <w:proofErr w:type="gramEnd"/>
      <w:r w:rsidRPr="0047092D">
        <w:rPr>
          <w:rFonts w:ascii="Times New Roman" w:eastAsia="Times New Roman" w:hAnsi="Times New Roman" w:cs="Times New Roman"/>
          <w:i/>
          <w:iCs/>
          <w:color w:val="0A0A0A"/>
          <w:sz w:val="27"/>
          <w:szCs w:val="27"/>
          <w:bdr w:val="none" w:sz="0" w:space="0" w:color="auto" w:frame="1"/>
          <w:lang w:eastAsia="ru-RU"/>
        </w:rPr>
        <w:t> при необходимости они могут иметь фактически регулирующий характер, хоть формально и останутся рекомендациями. Мы видим очередной шаг</w:t>
      </w: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».</w:t>
      </w:r>
    </w:p>
    <w:p w:rsidR="00F95343" w:rsidRPr="00F95343" w:rsidRDefault="00F95343" w:rsidP="0047092D">
      <w:pPr>
        <w:spacing w:before="240" w:after="0" w:line="420" w:lineRule="atLeast"/>
        <w:jc w:val="both"/>
        <w:textAlignment w:val="baseline"/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</w:pPr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Скорее данный пример «мягкого права» более детально раскрывает нам понятие «</w:t>
      </w:r>
      <w:proofErr w:type="spellStart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>экологичность</w:t>
      </w:r>
      <w:proofErr w:type="spellEnd"/>
      <w:r w:rsidRPr="00F95343">
        <w:rPr>
          <w:rFonts w:ascii="Times New Roman" w:eastAsia="Times New Roman" w:hAnsi="Times New Roman" w:cs="Times New Roman"/>
          <w:color w:val="0A0A0A"/>
          <w:sz w:val="27"/>
          <w:szCs w:val="27"/>
          <w:lang w:eastAsia="ru-RU"/>
        </w:rPr>
        <w:t xml:space="preserve"> поведения», как одного из основных элементов на пути эволюции компаний в организации из далекого будущего. Не исключено, что в обозримой перспективе мы увидим новые примеры от Банка России, указывающие на то, что регулятор выбрал именно «бирюзовую» модель развития наших компаний через «мягкое право», а не очередное «зарегулирование» рынка инвестиций в акционерный капитал.</w:t>
      </w:r>
    </w:p>
    <w:p w:rsidR="00D850DC" w:rsidRPr="0047092D" w:rsidRDefault="00D850DC" w:rsidP="0047092D">
      <w:pPr>
        <w:jc w:val="both"/>
        <w:rPr>
          <w:rFonts w:ascii="Times New Roman" w:hAnsi="Times New Roman" w:cs="Times New Roman"/>
        </w:rPr>
      </w:pPr>
    </w:p>
    <w:sectPr w:rsidR="00D850DC" w:rsidRPr="00470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B2F23"/>
    <w:multiLevelType w:val="multilevel"/>
    <w:tmpl w:val="1750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D5FE2"/>
    <w:multiLevelType w:val="multilevel"/>
    <w:tmpl w:val="4AAAD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960F4"/>
    <w:multiLevelType w:val="multilevel"/>
    <w:tmpl w:val="8BFA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52DA3"/>
    <w:multiLevelType w:val="multilevel"/>
    <w:tmpl w:val="2568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5E1737"/>
    <w:multiLevelType w:val="multilevel"/>
    <w:tmpl w:val="954AD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43"/>
    <w:rsid w:val="000B5443"/>
    <w:rsid w:val="0047092D"/>
    <w:rsid w:val="00D850DC"/>
    <w:rsid w:val="00F9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ACCF2-6CB3-4B29-9B1F-716EE501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5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953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3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53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F95343"/>
    <w:rPr>
      <w:color w:val="0000FF"/>
      <w:u w:val="single"/>
    </w:rPr>
  </w:style>
  <w:style w:type="character" w:customStyle="1" w:styleId="rubric-name">
    <w:name w:val="rubric-name"/>
    <w:basedOn w:val="a0"/>
    <w:rsid w:val="00F95343"/>
  </w:style>
  <w:style w:type="character" w:customStyle="1" w:styleId="rubric-title">
    <w:name w:val="rubric-title"/>
    <w:basedOn w:val="a0"/>
    <w:rsid w:val="00F95343"/>
  </w:style>
  <w:style w:type="character" w:customStyle="1" w:styleId="comments-buttonlabel">
    <w:name w:val="comments-button__label"/>
    <w:basedOn w:val="a0"/>
    <w:rsid w:val="00F95343"/>
  </w:style>
  <w:style w:type="character" w:customStyle="1" w:styleId="visually-hidden">
    <w:name w:val="visually-hidden"/>
    <w:basedOn w:val="a0"/>
    <w:rsid w:val="00F95343"/>
  </w:style>
  <w:style w:type="paragraph" w:styleId="a4">
    <w:name w:val="Normal (Web)"/>
    <w:basedOn w:val="a"/>
    <w:uiPriority w:val="99"/>
    <w:semiHidden/>
    <w:unhideWhenUsed/>
    <w:rsid w:val="00F95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95343"/>
    <w:rPr>
      <w:i/>
      <w:iCs/>
    </w:rPr>
  </w:style>
  <w:style w:type="character" w:styleId="a6">
    <w:name w:val="Strong"/>
    <w:basedOn w:val="a0"/>
    <w:uiPriority w:val="22"/>
    <w:qFormat/>
    <w:rsid w:val="00F953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5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18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02306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29387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9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79028">
                  <w:blockQuote w:val="1"/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u/blog/2020/05/19/preemstvennost_soveta_direktorov_v_pao_-_cb_rf_vspomnil_pro_kulturu_korporativnogo_upravleniya" TargetMode="External"/><Relationship Id="rId13" Type="http://schemas.openxmlformats.org/officeDocument/2006/relationships/hyperlink" Target="https://cbr.ru/StaticHtml/File/117620/20210712_in-06-28_4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lerk.ru/blogs/komplaens/518253/" TargetMode="External"/><Relationship Id="rId12" Type="http://schemas.openxmlformats.org/officeDocument/2006/relationships/hyperlink" Target="https://cbr.ru/StaticHtml/File/117620/20210712_in-06-28_49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klerk.ru/rubricator/svoj-biznes/" TargetMode="External"/><Relationship Id="rId11" Type="http://schemas.openxmlformats.org/officeDocument/2006/relationships/hyperlink" Target="https://www.ifc.org/wps/wcm/connect/de954acc-504f-4140-91dc-d46cf063b1ec/WhoCaresWins_2004.pdf?MOD=AJPERES&amp;CACHEID=ROOTWORKSPACE-de954acc-504f-4140-91dc-d46cf063b1ec-jqeE.mD" TargetMode="External"/><Relationship Id="rId5" Type="http://schemas.openxmlformats.org/officeDocument/2006/relationships/hyperlink" Target="https://www.klerk.ru/blogs/komplaens/" TargetMode="External"/><Relationship Id="rId15" Type="http://schemas.openxmlformats.org/officeDocument/2006/relationships/hyperlink" Target="https://ecodisclosure.ru/news/tpost/52pct0gp61-raskroisya-teper-bolshe-ne-prosto-lozung" TargetMode="External"/><Relationship Id="rId10" Type="http://schemas.openxmlformats.org/officeDocument/2006/relationships/hyperlink" Target="https://cbr.ru/StaticHtml/File/117620/20210712_in-06-28_4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br.ru/StaticHtml/File/117620/20210712_in-06-28_49.pdf" TargetMode="External"/><Relationship Id="rId14" Type="http://schemas.openxmlformats.org/officeDocument/2006/relationships/hyperlink" Target="https://cbr.ru/StaticHtml/File/117620/20210712_in-06-28_4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Сироткина</dc:creator>
  <cp:keywords/>
  <dc:description/>
  <cp:lastModifiedBy>Марина Сироткина</cp:lastModifiedBy>
  <cp:revision>2</cp:revision>
  <dcterms:created xsi:type="dcterms:W3CDTF">2021-11-22T11:39:00Z</dcterms:created>
  <dcterms:modified xsi:type="dcterms:W3CDTF">2021-11-22T11:40:00Z</dcterms:modified>
</cp:coreProperties>
</file>