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F2" w:rsidRDefault="009E1AF2">
      <w:pPr>
        <w:pStyle w:val="ConsPlusNormal"/>
        <w:jc w:val="right"/>
      </w:pPr>
      <w:bookmarkStart w:id="0" w:name="_GoBack"/>
      <w:bookmarkEnd w:id="0"/>
      <w:r>
        <w:t>"Современные страховые технологии", 2021, N 6</w:t>
      </w:r>
    </w:p>
    <w:p w:rsidR="009E1AF2" w:rsidRDefault="009E1AF2">
      <w:pPr>
        <w:pStyle w:val="ConsPlusNormal"/>
        <w:jc w:val="both"/>
      </w:pPr>
    </w:p>
    <w:p w:rsidR="009E1AF2" w:rsidRDefault="009E1AF2">
      <w:pPr>
        <w:pStyle w:val="ConsPlusTitle"/>
        <w:jc w:val="center"/>
      </w:pPr>
      <w:r>
        <w:t>ESG-ТРАНСФОРМАЦИЯ НЕИЗБЕЖНА</w:t>
      </w:r>
    </w:p>
    <w:p w:rsidR="009E1AF2" w:rsidRDefault="009E1AF2">
      <w:pPr>
        <w:pStyle w:val="ConsPlusNormal"/>
        <w:jc w:val="both"/>
      </w:pPr>
    </w:p>
    <w:p w:rsidR="009E1AF2" w:rsidRDefault="009E1AF2">
      <w:pPr>
        <w:pStyle w:val="ConsPlusNormal"/>
        <w:ind w:firstLine="540"/>
        <w:jc w:val="both"/>
      </w:pPr>
      <w:r>
        <w:t>Страховая индустрия неизбежно столкнется с необходимостью адаптации своих стратегий на среднесрочный и долгосрочный периоды с учетом стремительно меняющегося климата и ESG-факторов. Обмен опытом и освещение лучших практик могут существенно продвинуть страховой рынок в реализации повестки устойчивого развития, полагает вице-президент Всероссийского союза страховщиков Элла Платонова.</w:t>
      </w:r>
    </w:p>
    <w:p w:rsidR="009E1AF2" w:rsidRDefault="009E1AF2">
      <w:pPr>
        <w:pStyle w:val="ConsPlusNormal"/>
        <w:jc w:val="both"/>
      </w:pPr>
    </w:p>
    <w:p w:rsidR="009E1AF2" w:rsidRDefault="009E1AF2">
      <w:pPr>
        <w:pStyle w:val="ConsPlusNormal"/>
        <w:ind w:firstLine="540"/>
        <w:jc w:val="both"/>
      </w:pPr>
      <w:r>
        <w:rPr>
          <w:b/>
        </w:rPr>
        <w:t>- Современные страховые технологии: В октябре 2021 года ВСС провел первую Международную конференцию по внедрению ESG-принципов в страховой индустрии - "ESG-</w:t>
      </w:r>
      <w:proofErr w:type="spellStart"/>
      <w:r>
        <w:rPr>
          <w:b/>
        </w:rPr>
        <w:t>Insur</w:t>
      </w:r>
      <w:proofErr w:type="spellEnd"/>
      <w:r>
        <w:rPr>
          <w:b/>
        </w:rPr>
        <w:t xml:space="preserve"> 2021". Каковы результаты этого отраслевого форума по устойчивому развитию?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- Элла Платонова: Конференция вызвала повышенное внимание у страховщиков и экспертов финансового рынка, собрав более 150 участников, и оказалась насыщенной интересными докладами.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На мероприятии были рассмотрены актуальные вопросы ESG-повестки в страховой отрасли со стороны государственных органов и финансового регулятора, освещены практические задачи внедрения принципов устойчивого развития в бизнес-процессы и систему корпоративного управления российских и международных страховых групп, обозначена роль страховой индустрии в управлении экологическими и климатическими рисками, а также подходы к формированию нефинансовой отчетности.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С учетом проявленного интереса к конференции ВСС планирует продолжить освещение лучших практик внедрения ESG-принципов в страховом бизнесе и вместе со страховщиками активно участвовать в обсуждении вопросов совершенствования корпоративного управления и выработки рекомендаций по раскрытию информации об учете страховыми компаниями экологических и социальных факторов.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rPr>
          <w:b/>
        </w:rPr>
        <w:t>- ССТ: На какой стадии внедрения и учета ESG-принципов находится сейчас страховой рынок в России?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- Э.П.: В целом можно сказать, что мы пока в начале пути, однако стремительно меняющиеся процессы в мировой экономике не оставят российский страховой рынок в стороне от международных тенденций, учитывая, что Россия также включается в реализацию целей устойчивого развития.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Стоит отметить, что ряд компаний достаточно активно включились в работу по учету ESG-факторов в своей операционной деятельности, и мы надеемся, что с каждым годом их количество будет увеличиваться и отрасль полномасштабно включится в процесс достижения целей устойчивого развития.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На наш взгляд, страховая индустрия как институт, принимающий на собственное удержание большие объемы рисков и являющийся одним из ключевых инвесторов финансового рынка, неизбежно столкнется с необходимостью адаптации своих стратегий на среднесрочный и долгосрочный периоды с учетом стремительно меняющегося климата и ESG-факторов.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rPr>
          <w:b/>
        </w:rPr>
        <w:t>- ССТ: А есть ли обстоятельства, сдерживающие развитие в этом направлении?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- Э.П.: Например, некоторые аспекты реализации принципов устойчивого развития связаны с возможным увеличением финансовой нагрузки на компанию или изменением сложившихся бизнес-процессов, что для многих компаний на фоне последних изменений регулирования финансовой устойчивости и платежеспособности представляется несвоевременным.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lastRenderedPageBreak/>
        <w:t>Также акционеры и топ-менеджмент некоторых страховщиков пока не видят экономической целесообразности применения ESG-подходов, так как нет четкого понимания того, как их применение может способствовать получению прибыли.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Ну и еще один важный аспект, который будет тормозить внедрение ESG на финансовом рынке, - это дефицит квалифицированных кадров в этой области.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rPr>
          <w:b/>
        </w:rPr>
        <w:t>- ССТ: Как может изменить ситуацию политика регулятора?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- Э.П.: Изучив ключевые тактические цели Банка России в области устойчивого развития, можно отметить, что ключевой фокус регулятора в ближайшие три года будет направлен на развитие инструментов и инфраструктуры рынка финансирования устойчивого развития, включая совершенствование корпоративного управления и раскрытия информации в целях содействия устойчивому развитию, а также учет ESG-факторов в регулировании для адаптации финансового рынка к новым видам рисков.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Мы видим, что в настоящее время политика Банка России в этом направлении достаточно мягкая и многие из перечисленных задач реализуются через разработку методических рекомендаций.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Но при росте влияния ESG-факторов на субъекты рынка не исключено, что в целях сохранения устойчивости финансовых посредников будут введены и нормативные требования по учету климатических рисков в страховой и инвестиционной деятельности.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rPr>
          <w:b/>
        </w:rPr>
        <w:t>- ССТ: Какие конкретные шаги предстоит сделать страховщикам на пути ESG-трансформации?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- Э.П.: Сфера интеграции ESG-принципов в страховой деятельности достаточно многогранна.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Если проанализировать все 17 целей устойчивого развития, принятых на Ассамблее ООН в 2015 году, то более половины из них соотносятся с деятельностью участников страхового рынка.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Страховщики могут активно влиять на уровень жизни, здоровья и благополучия через различные программы личного страхования. Страховая защита может сыграть важную роль в сохранении и восстановлении природных экосистем, в том числе после техногенных аварий. Инвестиционный потенциал страхового рынка может оказать стимулирующее воздействие на развитие инновационной промышленности и инфраструктуры. Через реализацию корпоративных стандартов отрасль может внести вклад в осуществление принципа ответственного потребления, а также обеспечение высоких стандартов оплаты и условий труда.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И, конечно, особую роль страховая индустрия играет в борьбе с изменением климата. Портфельные приоритеты и инвестиционные стратегии страховщиков, несомненно, станут оказывать с каждым годом все большее влияние на развитие "зеленых" проектов и способствовать ускорению энергетического перехода.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 xml:space="preserve">Страховщикам, очевидно, придется совершенствовать </w:t>
      </w:r>
      <w:proofErr w:type="spellStart"/>
      <w:r>
        <w:t>андеррайтинговые</w:t>
      </w:r>
      <w:proofErr w:type="spellEnd"/>
      <w:r>
        <w:t xml:space="preserve"> подходы к оценке рисков, переосмыслить и модернизировать продуктовую линейку, учесть определенные вопросы в корпоративном управлении и расширить периметр нефинансовой отчетности, раскрывая информацию об учете и реализации принципов устойчивого развития в своей деятельности.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В частности, важным этапом на пути к достижению целей устойчивого развития является принятие всеми участниками рынка фидуциарной обязанности, то есть обязательств действовать добросовестно и ставить интересы доверителя выше собственных. Поэтому контроль качества и этики продаж приобретает особую важность!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 xml:space="preserve">Достаточно интересной представляется практика применения фактора ESG в тарификации </w:t>
      </w:r>
      <w:r>
        <w:lastRenderedPageBreak/>
        <w:t>для клиентов. Те клиенты, которые следуют ESG-повестке, могут получать меньший страховой тариф, или страхование объектов с наименьшим углеродным следом может тарифицироваться с дисконтом.</w:t>
      </w:r>
    </w:p>
    <w:p w:rsidR="009E1AF2" w:rsidRDefault="009E1AF2">
      <w:pPr>
        <w:pStyle w:val="ConsPlusNormal"/>
        <w:jc w:val="both"/>
      </w:pPr>
    </w:p>
    <w:p w:rsidR="009E1AF2" w:rsidRDefault="009E1AF2">
      <w:pPr>
        <w:pStyle w:val="ConsPlusNormal"/>
        <w:jc w:val="center"/>
      </w:pPr>
      <w:r>
        <w:t>Влияние страхового рынка на реализацию принципов</w:t>
      </w:r>
    </w:p>
    <w:p w:rsidR="009E1AF2" w:rsidRDefault="009E1AF2">
      <w:pPr>
        <w:pStyle w:val="ConsPlusNormal"/>
        <w:jc w:val="center"/>
      </w:pPr>
      <w:r>
        <w:t>устойчивого развития</w:t>
      </w:r>
    </w:p>
    <w:p w:rsidR="009E1AF2" w:rsidRDefault="009E1AF2">
      <w:pPr>
        <w:pStyle w:val="ConsPlusNormal"/>
        <w:jc w:val="both"/>
      </w:pPr>
    </w:p>
    <w:p w:rsidR="009E1AF2" w:rsidRDefault="009E1AF2">
      <w:pPr>
        <w:pStyle w:val="ConsPlusNormal"/>
        <w:jc w:val="center"/>
      </w:pPr>
      <w:r w:rsidRPr="006307DA">
        <w:rPr>
          <w:position w:val="-183"/>
        </w:rPr>
        <w:pict>
          <v:shape id="_x0000_i1025" style="width:310.55pt;height:194.5pt" coordsize="" o:spt="100" adj="0,,0" path="" filled="f" stroked="f">
            <v:stroke joinstyle="miter"/>
            <v:imagedata r:id="rId5" o:title="base_32776_295098_32768"/>
            <v:formulas/>
            <v:path o:connecttype="segments"/>
          </v:shape>
        </w:pict>
      </w:r>
    </w:p>
    <w:p w:rsidR="009E1AF2" w:rsidRDefault="009E1AF2">
      <w:pPr>
        <w:pStyle w:val="ConsPlusNormal"/>
        <w:jc w:val="both"/>
      </w:pPr>
    </w:p>
    <w:p w:rsidR="009E1AF2" w:rsidRDefault="009E1AF2">
      <w:pPr>
        <w:pStyle w:val="ConsPlusNormal"/>
        <w:ind w:firstLine="540"/>
        <w:jc w:val="both"/>
      </w:pPr>
      <w:r>
        <w:rPr>
          <w:b/>
        </w:rPr>
        <w:t>- ССТ: Как будет координироваться деятельность страхового сообщества?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- Э.П.: Для продолжения работы по обсуждению актуальных вопросов учета и внедрения принципов устойчивого развития в страховом секторе на площадке Всероссийского союза страховщиков создается отдельная рабочая группа, куда войдут представители заинтересованных компаний. В настоящее время во взаимодействии с Банком России и коллегами из смежных отраслей финансового рынка проходит обсуждение Концепции по предоставлению и раскрытию финансовыми организациями информации об учете экологических, социальных факторов и факторов корпоративного управления в процессе предложения финансовых продуктов и услуг клиентам. На основе указанной концепции регулятором будут сформулированы соответствующие методические рекомендации. Надеемся, что и дальнейшие инициативы будут прорабатываться с учетом специфики видов деятельности различных финансовых организаций и мнений участников рынка.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rPr>
          <w:b/>
        </w:rPr>
        <w:t>- ССТ: Какие риски игнорирования повестки устойчивого развития существуют?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- Э.П.: Очевидно, что если в перспективе не учитывать процессы ESG-трансформации, то компания может столкнуться со снижением конкурентоспособности, будут возрастать риски обесценивания инвестиционных активов. Недооценка страховых рисков может привести к росту убыточности. Все перечисленное неизбежно отразится на снижении капитала и рентабельности.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rPr>
          <w:b/>
        </w:rPr>
        <w:t>- ССТ: Какие возможности открывает международное сотрудничество в области устойчивого развития с точки зрения управления рисками?</w:t>
      </w:r>
    </w:p>
    <w:p w:rsidR="009E1AF2" w:rsidRDefault="009E1AF2">
      <w:pPr>
        <w:pStyle w:val="ConsPlusNormal"/>
        <w:spacing w:before="220"/>
        <w:ind w:firstLine="540"/>
        <w:jc w:val="both"/>
      </w:pPr>
      <w:r>
        <w:t>- Э.П.: Многие государства, в том числе с участием страховщиков, сформировали или находятся в стадии создания базы данных об экологических рисках и катастрофах. Глобальные климатические изменения требуют комплексной международной оценки рисков и эффективного прогнозирования природных явлений. Движение в сторону создания международной информационной базы данных с элементами космического мониторинга и исторических данных (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Risk-office</w:t>
      </w:r>
      <w:proofErr w:type="spellEnd"/>
      <w:r>
        <w:t xml:space="preserve">) позволит повысить степень защиты населения и национальных экономик от разрушительных климатических явлений. Такое международное сотрудничество является хорошей иллюстрацией реализации 17-го принципа ЦУР ООН, который призван укрепить меры </w:t>
      </w:r>
      <w:r>
        <w:lastRenderedPageBreak/>
        <w:t>глобального партнерства с целью устойчивого развития.</w:t>
      </w:r>
    </w:p>
    <w:p w:rsidR="009E1AF2" w:rsidRDefault="009E1AF2">
      <w:pPr>
        <w:pStyle w:val="ConsPlusNormal"/>
        <w:jc w:val="both"/>
      </w:pPr>
    </w:p>
    <w:p w:rsidR="009E1AF2" w:rsidRDefault="009E1AF2">
      <w:pPr>
        <w:pStyle w:val="ConsPlusNormal"/>
      </w:pPr>
      <w:r>
        <w:t>Подписано в печать</w:t>
      </w:r>
    </w:p>
    <w:p w:rsidR="009E1AF2" w:rsidRDefault="009E1AF2">
      <w:pPr>
        <w:pStyle w:val="ConsPlusNormal"/>
        <w:spacing w:before="220"/>
      </w:pPr>
      <w:r>
        <w:t>10.12.2021</w:t>
      </w:r>
    </w:p>
    <w:p w:rsidR="009E1AF2" w:rsidRDefault="009E1AF2">
      <w:pPr>
        <w:pStyle w:val="ConsPlusNormal"/>
        <w:jc w:val="both"/>
      </w:pPr>
    </w:p>
    <w:p w:rsidR="009E1AF2" w:rsidRDefault="009E1AF2">
      <w:pPr>
        <w:pStyle w:val="ConsPlusNormal"/>
        <w:jc w:val="both"/>
      </w:pPr>
    </w:p>
    <w:p w:rsidR="009E1AF2" w:rsidRDefault="009E1AF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A5937" w:rsidRDefault="009A5937"/>
    <w:sectPr w:rsidR="009A5937" w:rsidSect="00D12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AF2"/>
    <w:rsid w:val="009A5937"/>
    <w:rsid w:val="009E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1A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1A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1A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1A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1A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1A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Сироткина</dc:creator>
  <cp:lastModifiedBy>Сироткина</cp:lastModifiedBy>
  <cp:revision>1</cp:revision>
  <dcterms:created xsi:type="dcterms:W3CDTF">2022-08-24T09:13:00Z</dcterms:created>
  <dcterms:modified xsi:type="dcterms:W3CDTF">2022-08-24T09:14:00Z</dcterms:modified>
</cp:coreProperties>
</file>