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68D" w:rsidRDefault="0029168D">
      <w:pPr>
        <w:pStyle w:val="ConsPlusTitlePage"/>
      </w:pPr>
      <w:r>
        <w:t xml:space="preserve">Документ предоставлен </w:t>
      </w:r>
      <w:hyperlink r:id="rId4" w:history="1">
        <w:r>
          <w:rPr>
            <w:color w:val="0000FF"/>
          </w:rPr>
          <w:t>КонсультантПлюс</w:t>
        </w:r>
      </w:hyperlink>
      <w:r>
        <w:br/>
      </w:r>
    </w:p>
    <w:p w:rsidR="0029168D" w:rsidRDefault="0029168D">
      <w:pPr>
        <w:pStyle w:val="ConsPlusNormal"/>
        <w:jc w:val="both"/>
        <w:outlineLvl w:val="0"/>
      </w:pPr>
    </w:p>
    <w:p w:rsidR="0029168D" w:rsidRDefault="0029168D">
      <w:pPr>
        <w:pStyle w:val="ConsPlusTitle"/>
        <w:jc w:val="center"/>
        <w:outlineLvl w:val="0"/>
      </w:pPr>
      <w:r>
        <w:t>ЦЕНТРАЛЬНЫЙ БАНК РОССИЙСКОЙ ФЕДЕРАЦИИ</w:t>
      </w:r>
    </w:p>
    <w:p w:rsidR="0029168D" w:rsidRDefault="0029168D">
      <w:pPr>
        <w:pStyle w:val="ConsPlusTitle"/>
        <w:jc w:val="center"/>
      </w:pPr>
    </w:p>
    <w:p w:rsidR="0029168D" w:rsidRDefault="0029168D">
      <w:pPr>
        <w:pStyle w:val="ConsPlusTitle"/>
        <w:jc w:val="center"/>
      </w:pPr>
      <w:r>
        <w:t>ИНФОРМАЦИОННОЕ ПИСЬМО</w:t>
      </w:r>
    </w:p>
    <w:p w:rsidR="0029168D" w:rsidRDefault="0029168D">
      <w:pPr>
        <w:pStyle w:val="ConsPlusTitle"/>
        <w:jc w:val="center"/>
      </w:pPr>
      <w:r>
        <w:t>от 15 июля 2020 г. N ИН-06-28/111</w:t>
      </w:r>
    </w:p>
    <w:p w:rsidR="0029168D" w:rsidRDefault="0029168D">
      <w:pPr>
        <w:pStyle w:val="ConsPlusTitle"/>
        <w:jc w:val="center"/>
      </w:pPr>
    </w:p>
    <w:p w:rsidR="0029168D" w:rsidRDefault="0029168D">
      <w:pPr>
        <w:pStyle w:val="ConsPlusTitle"/>
        <w:jc w:val="center"/>
      </w:pPr>
      <w:r>
        <w:t>О РЕКОМЕНДАЦИЯХ</w:t>
      </w:r>
    </w:p>
    <w:p w:rsidR="0029168D" w:rsidRDefault="0029168D">
      <w:pPr>
        <w:pStyle w:val="ConsPlusTitle"/>
        <w:jc w:val="center"/>
      </w:pPr>
      <w:r>
        <w:t>ПО РЕАЛИЗАЦИИ ПРИНЦИПОВ ОТВЕТСТВЕННОГО ИНВЕСТИРОВАНИЯ</w:t>
      </w:r>
    </w:p>
    <w:p w:rsidR="0029168D" w:rsidRDefault="0029168D">
      <w:pPr>
        <w:pStyle w:val="ConsPlusNormal"/>
        <w:jc w:val="both"/>
      </w:pPr>
    </w:p>
    <w:p w:rsidR="0029168D" w:rsidRDefault="0029168D">
      <w:pPr>
        <w:pStyle w:val="ConsPlusNormal"/>
        <w:ind w:firstLine="540"/>
        <w:jc w:val="both"/>
      </w:pPr>
      <w:r>
        <w:t xml:space="preserve">В целях развития подходов к ответственному инвестированию на российском финансовом рынке Банк России направляет для применения прилагаемые </w:t>
      </w:r>
      <w:hyperlink w:anchor="P24" w:history="1">
        <w:r>
          <w:rPr>
            <w:color w:val="0000FF"/>
          </w:rPr>
          <w:t>рекомендации</w:t>
        </w:r>
      </w:hyperlink>
      <w:r>
        <w:t xml:space="preserve"> по реализации принципов ответственного инвестирования.</w:t>
      </w:r>
    </w:p>
    <w:p w:rsidR="0029168D" w:rsidRDefault="0029168D">
      <w:pPr>
        <w:pStyle w:val="ConsPlusNormal"/>
        <w:spacing w:before="220"/>
        <w:ind w:firstLine="540"/>
        <w:jc w:val="both"/>
      </w:pPr>
      <w:r>
        <w:t>Настоящее информационное письмо подлежит опубликованию в "Вестнике Банка России" и размещению на официальном сайте Банка России в информационно-телекоммуникационной сети "Интернет".</w:t>
      </w:r>
    </w:p>
    <w:p w:rsidR="0029168D" w:rsidRDefault="0029168D">
      <w:pPr>
        <w:pStyle w:val="ConsPlusNormal"/>
        <w:jc w:val="both"/>
      </w:pPr>
    </w:p>
    <w:p w:rsidR="0029168D" w:rsidRDefault="0029168D">
      <w:pPr>
        <w:pStyle w:val="ConsPlusNormal"/>
        <w:jc w:val="right"/>
      </w:pPr>
      <w:r>
        <w:t>Первый заместитель</w:t>
      </w:r>
    </w:p>
    <w:p w:rsidR="0029168D" w:rsidRDefault="0029168D">
      <w:pPr>
        <w:pStyle w:val="ConsPlusNormal"/>
        <w:jc w:val="right"/>
      </w:pPr>
      <w:r>
        <w:t>Председателя Банка России</w:t>
      </w:r>
    </w:p>
    <w:p w:rsidR="0029168D" w:rsidRDefault="0029168D">
      <w:pPr>
        <w:pStyle w:val="ConsPlusNormal"/>
        <w:jc w:val="right"/>
      </w:pPr>
      <w:r>
        <w:t>С.А.ШВЕЦОВ</w:t>
      </w:r>
    </w:p>
    <w:p w:rsidR="0029168D" w:rsidRDefault="0029168D">
      <w:pPr>
        <w:pStyle w:val="ConsPlusNormal"/>
        <w:jc w:val="both"/>
      </w:pPr>
    </w:p>
    <w:p w:rsidR="0029168D" w:rsidRDefault="0029168D">
      <w:pPr>
        <w:pStyle w:val="ConsPlusNormal"/>
        <w:jc w:val="both"/>
      </w:pPr>
    </w:p>
    <w:p w:rsidR="0029168D" w:rsidRDefault="0029168D">
      <w:pPr>
        <w:pStyle w:val="ConsPlusNormal"/>
        <w:jc w:val="both"/>
      </w:pPr>
    </w:p>
    <w:p w:rsidR="0029168D" w:rsidRDefault="0029168D">
      <w:pPr>
        <w:pStyle w:val="ConsPlusNormal"/>
        <w:jc w:val="both"/>
      </w:pPr>
    </w:p>
    <w:p w:rsidR="0029168D" w:rsidRDefault="0029168D">
      <w:pPr>
        <w:pStyle w:val="ConsPlusNormal"/>
        <w:jc w:val="both"/>
      </w:pPr>
    </w:p>
    <w:p w:rsidR="0029168D" w:rsidRDefault="0029168D">
      <w:pPr>
        <w:pStyle w:val="ConsPlusNormal"/>
        <w:jc w:val="right"/>
        <w:outlineLvl w:val="0"/>
      </w:pPr>
      <w:r>
        <w:t>Приложение</w:t>
      </w:r>
    </w:p>
    <w:p w:rsidR="0029168D" w:rsidRDefault="0029168D">
      <w:pPr>
        <w:pStyle w:val="ConsPlusNormal"/>
        <w:jc w:val="right"/>
      </w:pPr>
      <w:r>
        <w:t>к информационному письму</w:t>
      </w:r>
    </w:p>
    <w:p w:rsidR="0029168D" w:rsidRDefault="0029168D">
      <w:pPr>
        <w:pStyle w:val="ConsPlusNormal"/>
        <w:jc w:val="right"/>
      </w:pPr>
      <w:r>
        <w:t>от 15.07.2020 N ИН-06-28/111</w:t>
      </w:r>
    </w:p>
    <w:p w:rsidR="0029168D" w:rsidRDefault="0029168D">
      <w:pPr>
        <w:pStyle w:val="ConsPlusNormal"/>
        <w:jc w:val="both"/>
      </w:pPr>
    </w:p>
    <w:p w:rsidR="0029168D" w:rsidRDefault="0029168D">
      <w:pPr>
        <w:pStyle w:val="ConsPlusTitle"/>
        <w:jc w:val="center"/>
      </w:pPr>
      <w:bookmarkStart w:id="0" w:name="P24"/>
      <w:bookmarkEnd w:id="0"/>
      <w:r>
        <w:t>РЕКОМЕНДАЦИИ</w:t>
      </w:r>
    </w:p>
    <w:p w:rsidR="0029168D" w:rsidRDefault="0029168D">
      <w:pPr>
        <w:pStyle w:val="ConsPlusTitle"/>
        <w:jc w:val="center"/>
      </w:pPr>
      <w:r>
        <w:t>ПО РЕАЛИЗАЦИИ ПРИНЦИПОВ ОТВЕТСТВЕННОГО ИНВЕСТИРОВАНИЯ</w:t>
      </w:r>
    </w:p>
    <w:p w:rsidR="0029168D" w:rsidRDefault="0029168D">
      <w:pPr>
        <w:pStyle w:val="ConsPlusNormal"/>
        <w:jc w:val="both"/>
      </w:pPr>
    </w:p>
    <w:p w:rsidR="0029168D" w:rsidRDefault="0029168D">
      <w:pPr>
        <w:pStyle w:val="ConsPlusTitle"/>
        <w:ind w:firstLine="540"/>
        <w:jc w:val="both"/>
        <w:outlineLvl w:val="1"/>
      </w:pPr>
      <w:r>
        <w:t>Введение</w:t>
      </w:r>
    </w:p>
    <w:p w:rsidR="0029168D" w:rsidRDefault="0029168D">
      <w:pPr>
        <w:pStyle w:val="ConsPlusNormal"/>
        <w:jc w:val="both"/>
      </w:pPr>
    </w:p>
    <w:p w:rsidR="0029168D" w:rsidRDefault="0029168D">
      <w:pPr>
        <w:pStyle w:val="ConsPlusNormal"/>
        <w:ind w:firstLine="540"/>
        <w:jc w:val="both"/>
      </w:pPr>
      <w:r>
        <w:t>В мировом сообществе все больше внимания уделяется глобальным проблемам человечества и достижению целей устойчивого развития &lt;1&gt;, в связи с чем повышается важность ответственного ведения деятельности хозяйственными обществами &lt;2&gt;. При этом со стороны инвесторов формируется растущий запрос на инвестирование, учитывающее цели устойчивого развития, в соответствующие объекты инвестиций &lt;3&gt;. В международной практике отмечается тенденция, свидетельствующая о том, что институциональные инвесторы, являясь крупными источниками капитала для обществ, способствуют достижению ими положительных результатов в области устойчивого развития (далее - миссия институциональных инвесторов в области устойчивого развития), что в конечном результате содействует устойчивому развитию региона, в котором общества осуществляют свою деятельность, и страны в целом. Реализацию миссии институционального инвестора в области устойчивого развития рекомендуется осуществлять институциональным инвесторам посредством внедрения в практику своей деятельности принципов ответственного инвестирования.</w:t>
      </w:r>
    </w:p>
    <w:p w:rsidR="0029168D" w:rsidRDefault="0029168D">
      <w:pPr>
        <w:pStyle w:val="ConsPlusNormal"/>
        <w:spacing w:before="220"/>
        <w:ind w:firstLine="540"/>
        <w:jc w:val="both"/>
      </w:pPr>
      <w:r>
        <w:t>--------------------------------</w:t>
      </w:r>
    </w:p>
    <w:p w:rsidR="0029168D" w:rsidRDefault="0029168D">
      <w:pPr>
        <w:pStyle w:val="ConsPlusNormal"/>
        <w:spacing w:before="220"/>
        <w:ind w:firstLine="540"/>
        <w:jc w:val="both"/>
      </w:pPr>
      <w:r>
        <w:t>&lt;1&gt; Цели в области устойчивого развития, принятые Организацией Объединенных Наций в 2015 году (Резолюция Генеральной Ассамблеи ООН от 25.09.2015 N A/RES/70/1).</w:t>
      </w:r>
    </w:p>
    <w:p w:rsidR="0029168D" w:rsidRDefault="0029168D">
      <w:pPr>
        <w:pStyle w:val="ConsPlusNormal"/>
        <w:spacing w:before="220"/>
        <w:ind w:firstLine="540"/>
        <w:jc w:val="both"/>
      </w:pPr>
      <w:r>
        <w:lastRenderedPageBreak/>
        <w:t>&lt;2&gt; Международными организациями разрабатываются рекомендации в области ответственного ведения бизнеса, см., например, Руководящие принципы ОЭСР для многонациональных предприятий по ОВБ, Глобальный договор ООН.</w:t>
      </w:r>
    </w:p>
    <w:p w:rsidR="0029168D" w:rsidRDefault="0029168D">
      <w:pPr>
        <w:pStyle w:val="ConsPlusNormal"/>
        <w:spacing w:before="220"/>
        <w:ind w:firstLine="540"/>
        <w:jc w:val="both"/>
      </w:pPr>
      <w:r>
        <w:t>&lt;3&gt; Здесь и далее ценные бумаги хозяйственного общества - эмитента эмиссионных ценных бумаг, в которые осуществляется инвестирование.</w:t>
      </w:r>
    </w:p>
    <w:p w:rsidR="0029168D" w:rsidRDefault="0029168D">
      <w:pPr>
        <w:pStyle w:val="ConsPlusNormal"/>
        <w:jc w:val="both"/>
      </w:pPr>
    </w:p>
    <w:p w:rsidR="0029168D" w:rsidRDefault="0029168D">
      <w:pPr>
        <w:pStyle w:val="ConsPlusNormal"/>
        <w:ind w:firstLine="540"/>
        <w:jc w:val="both"/>
      </w:pPr>
      <w:r>
        <w:t>Ответственное инвестирование предполагает осуществление институциональным инвестором деятельности в интересах своих клиентов и выгодоприобретателей, выполнение обязанности по добросовестному и разумному инвестированию средств, повышению надежности и доходности инвестиций для своих клиентов и выгодоприобретателей. Указанное достигается институциональным инвестором посредством грамотного и взвешенного выбора объектов инвестиций с учетом требований регулирования, проведения тщательного инвестиционного анализа объектов инвестиций, в том числе рисков и доходности вложений на основе их оптимального соотношения, соответствующего принятой им стратегии инвестирования, активного взаимодействия с обществом, в ценные бумаги которого осуществляются инвестиции, направленного на повышение устойчивости, долгосрочное развитие и рост капитализации общества.</w:t>
      </w:r>
    </w:p>
    <w:p w:rsidR="0029168D" w:rsidRDefault="0029168D">
      <w:pPr>
        <w:pStyle w:val="ConsPlusNormal"/>
        <w:spacing w:before="220"/>
        <w:ind w:firstLine="540"/>
        <w:jc w:val="both"/>
      </w:pPr>
      <w:r>
        <w:t>Ответственное инвестирование также подразумевает ответственное управление обществом, заключающееся в добросовестной реализации институциональными инвесторами - акционерами своих корпоративных прав и раскрытие информации о следовании принципам ответственного инвестирования. Рекомендации институциональным инвесторам по раскрытию информации о своих политиках в сфере корпоративного управления, в частности о том, как они осуществляют права акционера общества и разрешают существенные конфликты интересов, связанные с реализацией таких прав &lt;4&gt;, содержатся в принципах корпоративного управления G20/ОЭСР &lt;5&gt;.</w:t>
      </w:r>
    </w:p>
    <w:p w:rsidR="0029168D" w:rsidRDefault="0029168D">
      <w:pPr>
        <w:pStyle w:val="ConsPlusNormal"/>
        <w:spacing w:before="220"/>
        <w:ind w:firstLine="540"/>
        <w:jc w:val="both"/>
      </w:pPr>
      <w:r>
        <w:t>--------------------------------</w:t>
      </w:r>
    </w:p>
    <w:p w:rsidR="0029168D" w:rsidRDefault="0029168D">
      <w:pPr>
        <w:pStyle w:val="ConsPlusNormal"/>
        <w:spacing w:before="220"/>
        <w:ind w:firstLine="540"/>
        <w:jc w:val="both"/>
      </w:pPr>
      <w:r>
        <w:t>&lt;4&gt; Глава III Принципов корпоративного управления G20/ОЭСР.</w:t>
      </w:r>
    </w:p>
    <w:p w:rsidR="0029168D" w:rsidRDefault="0029168D">
      <w:pPr>
        <w:pStyle w:val="ConsPlusNormal"/>
        <w:spacing w:before="220"/>
        <w:ind w:firstLine="540"/>
        <w:jc w:val="both"/>
      </w:pPr>
      <w:r>
        <w:t>&lt;5&gt; Принципы корпоративного управления G20/ОЭСР, принятые Советом Организации экономического сотрудничества и развития и одобренные на саммите лидеров G20 в 2015 году (G20/OECD Principles of Corporate Governance).</w:t>
      </w:r>
    </w:p>
    <w:p w:rsidR="0029168D" w:rsidRDefault="0029168D">
      <w:pPr>
        <w:pStyle w:val="ConsPlusNormal"/>
        <w:jc w:val="both"/>
      </w:pPr>
    </w:p>
    <w:p w:rsidR="0029168D" w:rsidRDefault="0029168D">
      <w:pPr>
        <w:pStyle w:val="ConsPlusNormal"/>
        <w:ind w:firstLine="540"/>
        <w:jc w:val="both"/>
      </w:pPr>
      <w:r>
        <w:t>Кроме того, в последние годы в большинстве стран с высоким уровнем развития корпоративного управления были приняты кодексы надлежащего управления &lt;6&gt;. Такие документы носят добровольный характер и содержат рекомендации в отношении участия институциональных инвесторов в управлении обществами, в ценные бумаги которых осуществляются инвестиции. Следование рекомендациям указанных кодексов, предполагающее активное и добросовестное участие институциональных инвесторов в вопросах стратегического развития и корпоративного управления, способствует стабильной деятельности, долгосрочному развитию общества, повышению его капитализации. Институциональные инвесторы не осуществляют управление текущей деятельностью обществ, в ценные бумаги которых осуществляются инвестиции, но, реализуя принципы ответственного инвестирования, содействуют их устойчивому развитию.</w:t>
      </w:r>
    </w:p>
    <w:p w:rsidR="0029168D" w:rsidRDefault="0029168D">
      <w:pPr>
        <w:pStyle w:val="ConsPlusNormal"/>
        <w:spacing w:before="220"/>
        <w:ind w:firstLine="540"/>
        <w:jc w:val="both"/>
      </w:pPr>
      <w:r>
        <w:t>--------------------------------</w:t>
      </w:r>
    </w:p>
    <w:p w:rsidR="0029168D" w:rsidRDefault="0029168D">
      <w:pPr>
        <w:pStyle w:val="ConsPlusNormal"/>
        <w:spacing w:before="220"/>
        <w:ind w:firstLine="540"/>
        <w:jc w:val="both"/>
      </w:pPr>
      <w:r>
        <w:t>&lt;6&gt; В международной практике используется термин Stewardship Code.</w:t>
      </w:r>
    </w:p>
    <w:p w:rsidR="0029168D" w:rsidRDefault="0029168D">
      <w:pPr>
        <w:pStyle w:val="ConsPlusNormal"/>
        <w:jc w:val="both"/>
      </w:pPr>
    </w:p>
    <w:p w:rsidR="0029168D" w:rsidRDefault="0029168D">
      <w:pPr>
        <w:pStyle w:val="ConsPlusNormal"/>
        <w:ind w:firstLine="540"/>
        <w:jc w:val="both"/>
      </w:pPr>
      <w:r>
        <w:t xml:space="preserve">При этом надлежащее управление обществом, в ценные бумаги которого осуществляются инвестиции, воплощается не только в реализации институциональным инвестором корпоративных прав акционера общества, но также в осуществлении мониторинга &lt;7&gt; значимых аспектов деятельности общества и активного взаимодействия с обществом, объединения усилий с другими </w:t>
      </w:r>
      <w:r>
        <w:lastRenderedPageBreak/>
        <w:t>инвесторами и иными заинтересованными сторонами для достижения устойчивого развития общества, ответственном подходе к выбору институциональными инвесторами доверительных управляющих и консультантов, а также контроле за их деятельностью.</w:t>
      </w:r>
    </w:p>
    <w:p w:rsidR="0029168D" w:rsidRDefault="0029168D">
      <w:pPr>
        <w:pStyle w:val="ConsPlusNormal"/>
        <w:spacing w:before="220"/>
        <w:ind w:firstLine="540"/>
        <w:jc w:val="both"/>
      </w:pPr>
      <w:r>
        <w:t>--------------------------------</w:t>
      </w:r>
    </w:p>
    <w:p w:rsidR="0029168D" w:rsidRDefault="0029168D">
      <w:pPr>
        <w:pStyle w:val="ConsPlusNormal"/>
        <w:spacing w:before="220"/>
        <w:ind w:firstLine="540"/>
        <w:jc w:val="both"/>
      </w:pPr>
      <w:r>
        <w:t>&lt;7&gt; В целях содействия институциональным инвесторам в проведении анализа объекта инвестиций с целью недопущения негативного влияния таких инвестиций на общество и окружающую среду издано руководство ОЭСР по ответственному ведению бизнеса для институциональных инвесторов (Responsible business conduct for institutional investors: Key considerations for due diligence OECD (2017).</w:t>
      </w:r>
    </w:p>
    <w:p w:rsidR="0029168D" w:rsidRDefault="0029168D">
      <w:pPr>
        <w:pStyle w:val="ConsPlusNormal"/>
        <w:jc w:val="both"/>
      </w:pPr>
    </w:p>
    <w:p w:rsidR="0029168D" w:rsidRDefault="0029168D">
      <w:pPr>
        <w:pStyle w:val="ConsPlusNormal"/>
        <w:ind w:firstLine="540"/>
        <w:jc w:val="both"/>
      </w:pPr>
      <w:r>
        <w:t>Ответственное инвестирование предполагает учет существенных рисков, связанных с факторами устойчивого развития (экологическими факторами, социальными факторами и факторами корпоративного управления) при выборе объектов инвестиций и управлении ими. Учет факторов устойчивого развития не только позволяет институциональным инвесторам осуществлять выбор более устойчивых, совершенных с точки зрения управления рисками и доходных в долгосрочной перспективе обществ, но и позволяет разработать стратегию взаимодействия с ними в целях улучшения результатов таких обществ в области устойчивого развития. При этом интеграция факторов устойчивого развития в инвестиционный процесс не обязательно предполагает сужение круга потенциальных объектов инвестирования и не влечет необходимость отказа от доходности инвестиционного портфеля для институционального инвестора. Основным посылом интеграции факторов устойчивого развития в инвестиционный процесс является снижение рисков и повышение доходности от инвестиций в долгосрочной перспективе.</w:t>
      </w:r>
    </w:p>
    <w:p w:rsidR="0029168D" w:rsidRDefault="0029168D">
      <w:pPr>
        <w:pStyle w:val="ConsPlusNormal"/>
        <w:spacing w:before="220"/>
        <w:ind w:firstLine="540"/>
        <w:jc w:val="both"/>
      </w:pPr>
      <w:r>
        <w:t>Настоящие Рекомендации направлены на выстраивание эффективных взаимоотношений институциональных инвесторов с обществом, в ценные бумаги которого осуществляются инвестиции, повышение качества диалога с обществом, что, в свою очередь, влияет на улучшение результатов общества в области устойчивого развития и как следствие - увеличение стоимости инвестиций клиентов и выгодоприобретателей.</w:t>
      </w:r>
    </w:p>
    <w:p w:rsidR="0029168D" w:rsidRDefault="0029168D">
      <w:pPr>
        <w:pStyle w:val="ConsPlusNormal"/>
        <w:spacing w:before="220"/>
        <w:ind w:firstLine="540"/>
        <w:jc w:val="both"/>
      </w:pPr>
      <w:r>
        <w:t>Рекомендации призваны служить ориентиром для институциональных инвесторов и доверительных управляющих активами институциональных инвесторов при осуществлении ими инвестирования. Подход к внедрению настоящих Рекомендаций институциональным инвесторам и доверительным управляющим активами институциональных инвесторов рекомендуется определять с учетом установленных законодательством Российской Федерации ограничений и требований к порядку инвестирования, инвестиционной стратегии, используемых институциональными инвесторами подходов к формированию портфелей на основе анализа соотношения риска и доходности инвестиций, а также предпочтений их клиентов и выгодоприобретателей. Реализацию принципов ответственного инвестирования рекомендуется осуществлять с учетом значимости инвестиций в портфеле институционального инвестора.</w:t>
      </w:r>
    </w:p>
    <w:p w:rsidR="0029168D" w:rsidRDefault="0029168D">
      <w:pPr>
        <w:pStyle w:val="ConsPlusNormal"/>
        <w:spacing w:before="220"/>
        <w:ind w:firstLine="540"/>
        <w:jc w:val="both"/>
      </w:pPr>
      <w:r>
        <w:t>Институциональным инвесторам и доверительным управляющим активами институциональных инвесторов, придерживающимся в своей деятельности принципов ответственного инвестирования, рекомендуется публично заявить о следовании настоящим Рекомендациям.</w:t>
      </w:r>
    </w:p>
    <w:p w:rsidR="0029168D" w:rsidRDefault="0029168D">
      <w:pPr>
        <w:pStyle w:val="ConsPlusNormal"/>
        <w:spacing w:before="220"/>
        <w:ind w:firstLine="540"/>
        <w:jc w:val="both"/>
      </w:pPr>
      <w:r>
        <w:t>Принимая во внимание, что в зависимости от объекта инвестиций возможны различные условия и сроки инвестирования, права институциональных инвесторов, а также степень возможности оказания влияния на общества, инвесторам рекомендуется использовать свои ресурсы, права и возможности в целях осуществления ответственного инвестирования с учетом положений настоящих Рекомендаций в части, в которой они применимы в отношении конкретного объекта инвестиций.</w:t>
      </w:r>
    </w:p>
    <w:p w:rsidR="0029168D" w:rsidRDefault="0029168D">
      <w:pPr>
        <w:pStyle w:val="ConsPlusNormal"/>
        <w:spacing w:before="220"/>
        <w:ind w:firstLine="540"/>
        <w:jc w:val="both"/>
      </w:pPr>
      <w:r>
        <w:t xml:space="preserve">Институциональным инвесторам и доверительным управляющим активами </w:t>
      </w:r>
      <w:r>
        <w:lastRenderedPageBreak/>
        <w:t>институциональных инвесторов рекомендуется предпринимать меры по продвижению принципов ответственного инвестирования в Российской Федерации, в том числе путем взаимодействия с органами государственной власти, поддержки научно-исследовательской деятельности, проведения и участия в обучающих мероприятиях, создания информационных ресурсов и привлечения внимания к актуальным вопросам ответственного инвестирования и устойчивого развития.</w:t>
      </w:r>
    </w:p>
    <w:p w:rsidR="0029168D" w:rsidRDefault="0029168D">
      <w:pPr>
        <w:pStyle w:val="ConsPlusNormal"/>
        <w:jc w:val="both"/>
      </w:pPr>
    </w:p>
    <w:p w:rsidR="0029168D" w:rsidRDefault="0029168D">
      <w:pPr>
        <w:pStyle w:val="ConsPlusTitle"/>
        <w:ind w:firstLine="540"/>
        <w:jc w:val="both"/>
        <w:outlineLvl w:val="1"/>
      </w:pPr>
      <w:r>
        <w:t>Глоссарий</w:t>
      </w:r>
    </w:p>
    <w:p w:rsidR="0029168D" w:rsidRDefault="0029168D">
      <w:pPr>
        <w:pStyle w:val="ConsPlusNormal"/>
        <w:jc w:val="both"/>
      </w:pPr>
    </w:p>
    <w:p w:rsidR="0029168D" w:rsidRDefault="0029168D">
      <w:pPr>
        <w:pStyle w:val="ConsPlusNormal"/>
        <w:ind w:firstLine="540"/>
        <w:jc w:val="both"/>
      </w:pPr>
      <w:r>
        <w:t>В настоящих Рекомендациях используются следующие термины и определения:</w:t>
      </w:r>
    </w:p>
    <w:p w:rsidR="0029168D" w:rsidRDefault="0029168D">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97"/>
        <w:gridCol w:w="340"/>
        <w:gridCol w:w="6633"/>
      </w:tblGrid>
      <w:tr w:rsidR="0029168D">
        <w:tc>
          <w:tcPr>
            <w:tcW w:w="2097" w:type="dxa"/>
            <w:tcBorders>
              <w:top w:val="nil"/>
              <w:left w:val="nil"/>
              <w:bottom w:val="nil"/>
              <w:right w:val="nil"/>
            </w:tcBorders>
          </w:tcPr>
          <w:p w:rsidR="0029168D" w:rsidRDefault="0029168D">
            <w:pPr>
              <w:pStyle w:val="ConsPlusNormal"/>
              <w:jc w:val="both"/>
            </w:pPr>
            <w:r>
              <w:t>Инвестор</w:t>
            </w:r>
          </w:p>
        </w:tc>
        <w:tc>
          <w:tcPr>
            <w:tcW w:w="340" w:type="dxa"/>
            <w:tcBorders>
              <w:top w:val="nil"/>
              <w:left w:val="nil"/>
              <w:bottom w:val="nil"/>
              <w:right w:val="nil"/>
            </w:tcBorders>
          </w:tcPr>
          <w:p w:rsidR="0029168D" w:rsidRDefault="0029168D">
            <w:pPr>
              <w:pStyle w:val="ConsPlusNormal"/>
              <w:jc w:val="center"/>
            </w:pPr>
            <w:r>
              <w:t>-</w:t>
            </w:r>
          </w:p>
        </w:tc>
        <w:tc>
          <w:tcPr>
            <w:tcW w:w="6633" w:type="dxa"/>
            <w:tcBorders>
              <w:top w:val="nil"/>
              <w:left w:val="nil"/>
              <w:bottom w:val="nil"/>
              <w:right w:val="nil"/>
            </w:tcBorders>
          </w:tcPr>
          <w:p w:rsidR="0029168D" w:rsidRDefault="0029168D">
            <w:pPr>
              <w:pStyle w:val="ConsPlusNormal"/>
              <w:jc w:val="both"/>
            </w:pPr>
            <w:r>
              <w:t xml:space="preserve">институциональный инвестор (кредитные организации, негосударственные пенсионные фонды, акционерные инвестиционные фонды, страховые организации) и доверительные управляющие (управляющие </w:t>
            </w:r>
            <w:hyperlink w:anchor="P65" w:history="1">
              <w:r>
                <w:rPr>
                  <w:color w:val="0000FF"/>
                </w:rPr>
                <w:t>&lt;8&gt;</w:t>
              </w:r>
            </w:hyperlink>
            <w:r>
              <w:t xml:space="preserve">, управляющие компании </w:t>
            </w:r>
            <w:hyperlink w:anchor="P66" w:history="1">
              <w:r>
                <w:rPr>
                  <w:color w:val="0000FF"/>
                </w:rPr>
                <w:t>&lt;9&gt;</w:t>
              </w:r>
            </w:hyperlink>
            <w:r>
              <w:t>) активами институциональных инвесторов, инвестирующие средства с целью извлечения прибыли от владения и распоряжения активами.</w:t>
            </w:r>
          </w:p>
        </w:tc>
      </w:tr>
    </w:tbl>
    <w:p w:rsidR="0029168D" w:rsidRDefault="0029168D">
      <w:pPr>
        <w:pStyle w:val="ConsPlusNormal"/>
        <w:jc w:val="both"/>
      </w:pPr>
    </w:p>
    <w:p w:rsidR="0029168D" w:rsidRDefault="0029168D">
      <w:pPr>
        <w:pStyle w:val="ConsPlusNormal"/>
        <w:ind w:firstLine="540"/>
        <w:jc w:val="both"/>
      </w:pPr>
      <w:r>
        <w:t>--------------------------------</w:t>
      </w:r>
    </w:p>
    <w:p w:rsidR="0029168D" w:rsidRDefault="0029168D">
      <w:pPr>
        <w:pStyle w:val="ConsPlusNormal"/>
        <w:spacing w:before="220"/>
        <w:ind w:firstLine="540"/>
        <w:jc w:val="both"/>
      </w:pPr>
      <w:bookmarkStart w:id="1" w:name="P65"/>
      <w:bookmarkEnd w:id="1"/>
      <w:r>
        <w:t xml:space="preserve">&lt;8&gt; Профессиональный участник рынка ценных бумаг, осуществляющий деятельность по управлению ценными бумагами в соответствии с Федеральным </w:t>
      </w:r>
      <w:hyperlink r:id="rId5" w:history="1">
        <w:r>
          <w:rPr>
            <w:color w:val="0000FF"/>
          </w:rPr>
          <w:t>законом</w:t>
        </w:r>
      </w:hyperlink>
      <w:r>
        <w:t xml:space="preserve"> от 22.04.1996 N 39-ФЗ "О рынке ценных бумаг".</w:t>
      </w:r>
    </w:p>
    <w:p w:rsidR="0029168D" w:rsidRDefault="0029168D">
      <w:pPr>
        <w:pStyle w:val="ConsPlusNormal"/>
        <w:spacing w:before="220"/>
        <w:ind w:firstLine="540"/>
        <w:jc w:val="both"/>
      </w:pPr>
      <w:bookmarkStart w:id="2" w:name="P66"/>
      <w:bookmarkEnd w:id="2"/>
      <w:r>
        <w:t xml:space="preserve">&lt;9&gt; Управляющая компания инвестиционного фонда, паевого инвестиционного фонда, осуществляющая деятельность в соответствии с Федеральным </w:t>
      </w:r>
      <w:hyperlink r:id="rId6" w:history="1">
        <w:r>
          <w:rPr>
            <w:color w:val="0000FF"/>
          </w:rPr>
          <w:t>законом</w:t>
        </w:r>
      </w:hyperlink>
      <w:r>
        <w:t xml:space="preserve"> от 29.11.2001 N 156-ФЗ "Об инвестиционных фондах", управляющая компания негосударственного пенсионного фонда, осуществляющая деятельность в соответствии с Федеральным </w:t>
      </w:r>
      <w:hyperlink r:id="rId7" w:history="1">
        <w:r>
          <w:rPr>
            <w:color w:val="0000FF"/>
          </w:rPr>
          <w:t>законом</w:t>
        </w:r>
      </w:hyperlink>
      <w:r>
        <w:t xml:space="preserve"> от 07.05.1998 N 75-ФЗ "О негосударственных пенсионных фондах".</w:t>
      </w:r>
    </w:p>
    <w:p w:rsidR="0029168D" w:rsidRDefault="0029168D">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97"/>
        <w:gridCol w:w="340"/>
        <w:gridCol w:w="6633"/>
      </w:tblGrid>
      <w:tr w:rsidR="0029168D">
        <w:tc>
          <w:tcPr>
            <w:tcW w:w="2097" w:type="dxa"/>
            <w:tcBorders>
              <w:top w:val="nil"/>
              <w:left w:val="nil"/>
              <w:bottom w:val="nil"/>
              <w:right w:val="nil"/>
            </w:tcBorders>
          </w:tcPr>
          <w:p w:rsidR="0029168D" w:rsidRDefault="0029168D">
            <w:pPr>
              <w:pStyle w:val="ConsPlusNormal"/>
              <w:jc w:val="both"/>
            </w:pPr>
            <w:r>
              <w:t>Общество</w:t>
            </w:r>
          </w:p>
        </w:tc>
        <w:tc>
          <w:tcPr>
            <w:tcW w:w="340" w:type="dxa"/>
            <w:tcBorders>
              <w:top w:val="nil"/>
              <w:left w:val="nil"/>
              <w:bottom w:val="nil"/>
              <w:right w:val="nil"/>
            </w:tcBorders>
          </w:tcPr>
          <w:p w:rsidR="0029168D" w:rsidRDefault="0029168D">
            <w:pPr>
              <w:pStyle w:val="ConsPlusNormal"/>
              <w:jc w:val="center"/>
            </w:pPr>
            <w:r>
              <w:t>-</w:t>
            </w:r>
          </w:p>
        </w:tc>
        <w:tc>
          <w:tcPr>
            <w:tcW w:w="6633" w:type="dxa"/>
            <w:tcBorders>
              <w:top w:val="nil"/>
              <w:left w:val="nil"/>
              <w:bottom w:val="nil"/>
              <w:right w:val="nil"/>
            </w:tcBorders>
          </w:tcPr>
          <w:p w:rsidR="0029168D" w:rsidRDefault="0029168D">
            <w:pPr>
              <w:pStyle w:val="ConsPlusNormal"/>
              <w:jc w:val="both"/>
            </w:pPr>
            <w:r>
              <w:t>хозяйственное общество - эмитент эмиссионных ценных бумаг, являющихся объектом инвестиций.</w:t>
            </w:r>
          </w:p>
        </w:tc>
      </w:tr>
      <w:tr w:rsidR="0029168D">
        <w:tc>
          <w:tcPr>
            <w:tcW w:w="2097" w:type="dxa"/>
            <w:tcBorders>
              <w:top w:val="nil"/>
              <w:left w:val="nil"/>
              <w:bottom w:val="nil"/>
              <w:right w:val="nil"/>
            </w:tcBorders>
          </w:tcPr>
          <w:p w:rsidR="0029168D" w:rsidRDefault="0029168D">
            <w:pPr>
              <w:pStyle w:val="ConsPlusNormal"/>
              <w:jc w:val="both"/>
            </w:pPr>
            <w:r>
              <w:t xml:space="preserve">Факторы устойчивого развития </w:t>
            </w:r>
            <w:hyperlink w:anchor="P76" w:history="1">
              <w:r>
                <w:rPr>
                  <w:color w:val="0000FF"/>
                </w:rPr>
                <w:t>&lt;10&gt;</w:t>
              </w:r>
            </w:hyperlink>
          </w:p>
        </w:tc>
        <w:tc>
          <w:tcPr>
            <w:tcW w:w="340" w:type="dxa"/>
            <w:tcBorders>
              <w:top w:val="nil"/>
              <w:left w:val="nil"/>
              <w:bottom w:val="nil"/>
              <w:right w:val="nil"/>
            </w:tcBorders>
          </w:tcPr>
          <w:p w:rsidR="0029168D" w:rsidRDefault="0029168D">
            <w:pPr>
              <w:pStyle w:val="ConsPlusNormal"/>
              <w:jc w:val="center"/>
            </w:pPr>
            <w:r>
              <w:t>-</w:t>
            </w:r>
          </w:p>
        </w:tc>
        <w:tc>
          <w:tcPr>
            <w:tcW w:w="6633" w:type="dxa"/>
            <w:tcBorders>
              <w:top w:val="nil"/>
              <w:left w:val="nil"/>
              <w:bottom w:val="nil"/>
              <w:right w:val="nil"/>
            </w:tcBorders>
          </w:tcPr>
          <w:p w:rsidR="0029168D" w:rsidRDefault="0029168D">
            <w:pPr>
              <w:pStyle w:val="ConsPlusNormal"/>
              <w:jc w:val="both"/>
            </w:pPr>
            <w:r>
              <w:t>факторы, принимаемые во внимание при осуществлении ответственного инвестирования: окружающая среда (экологические факторы, включая климатические риски), общество (социальные факторы) и корпоративное управление (факторы корпоративного управления).</w:t>
            </w:r>
          </w:p>
        </w:tc>
      </w:tr>
    </w:tbl>
    <w:p w:rsidR="0029168D" w:rsidRDefault="0029168D">
      <w:pPr>
        <w:pStyle w:val="ConsPlusNormal"/>
        <w:jc w:val="both"/>
      </w:pPr>
    </w:p>
    <w:p w:rsidR="0029168D" w:rsidRDefault="0029168D">
      <w:pPr>
        <w:pStyle w:val="ConsPlusNormal"/>
        <w:ind w:firstLine="540"/>
        <w:jc w:val="both"/>
      </w:pPr>
      <w:r>
        <w:t>--------------------------------</w:t>
      </w:r>
    </w:p>
    <w:p w:rsidR="0029168D" w:rsidRDefault="0029168D">
      <w:pPr>
        <w:pStyle w:val="ConsPlusNormal"/>
        <w:spacing w:before="220"/>
        <w:ind w:firstLine="540"/>
        <w:jc w:val="both"/>
      </w:pPr>
      <w:bookmarkStart w:id="3" w:name="P76"/>
      <w:bookmarkEnd w:id="3"/>
      <w:r>
        <w:t xml:space="preserve">&lt;10&gt; В международной практике используется термин факторы ESG (Environmental, Social and Governance Factors). Более подробно содержание каждого фактора раскрывается в </w:t>
      </w:r>
      <w:hyperlink w:anchor="P120" w:history="1">
        <w:r>
          <w:rPr>
            <w:color w:val="0000FF"/>
          </w:rPr>
          <w:t>пп. 2.3</w:t>
        </w:r>
      </w:hyperlink>
      <w:r>
        <w:t xml:space="preserve"> - </w:t>
      </w:r>
      <w:hyperlink w:anchor="P128" w:history="1">
        <w:r>
          <w:rPr>
            <w:color w:val="0000FF"/>
          </w:rPr>
          <w:t>2.5</w:t>
        </w:r>
      </w:hyperlink>
      <w:r>
        <w:t xml:space="preserve"> настоящих Рекомендаций.</w:t>
      </w:r>
    </w:p>
    <w:p w:rsidR="0029168D" w:rsidRDefault="0029168D">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97"/>
        <w:gridCol w:w="340"/>
        <w:gridCol w:w="6633"/>
      </w:tblGrid>
      <w:tr w:rsidR="0029168D">
        <w:tc>
          <w:tcPr>
            <w:tcW w:w="2097" w:type="dxa"/>
            <w:tcBorders>
              <w:top w:val="nil"/>
              <w:left w:val="nil"/>
              <w:bottom w:val="nil"/>
              <w:right w:val="nil"/>
            </w:tcBorders>
          </w:tcPr>
          <w:p w:rsidR="0029168D" w:rsidRDefault="0029168D">
            <w:pPr>
              <w:pStyle w:val="ConsPlusNormal"/>
              <w:jc w:val="both"/>
            </w:pPr>
            <w:r>
              <w:t>Корпоративные действия</w:t>
            </w:r>
          </w:p>
        </w:tc>
        <w:tc>
          <w:tcPr>
            <w:tcW w:w="340" w:type="dxa"/>
            <w:tcBorders>
              <w:top w:val="nil"/>
              <w:left w:val="nil"/>
              <w:bottom w:val="nil"/>
              <w:right w:val="nil"/>
            </w:tcBorders>
          </w:tcPr>
          <w:p w:rsidR="0029168D" w:rsidRDefault="0029168D">
            <w:pPr>
              <w:pStyle w:val="ConsPlusNormal"/>
              <w:jc w:val="center"/>
            </w:pPr>
            <w:r>
              <w:t>-</w:t>
            </w:r>
          </w:p>
        </w:tc>
        <w:tc>
          <w:tcPr>
            <w:tcW w:w="6633" w:type="dxa"/>
            <w:tcBorders>
              <w:top w:val="nil"/>
              <w:left w:val="nil"/>
              <w:bottom w:val="nil"/>
              <w:right w:val="nil"/>
            </w:tcBorders>
          </w:tcPr>
          <w:p w:rsidR="0029168D" w:rsidRDefault="0029168D">
            <w:pPr>
              <w:pStyle w:val="ConsPlusNormal"/>
              <w:jc w:val="both"/>
            </w:pPr>
            <w:r>
              <w:t xml:space="preserve">действия, которые влияют или могут повлиять на структуру капитала, финансовое состояние Общества и положение владельцев эмиссионных ценных бумаг Общества, в том числе увеличение или уменьшение уставного капитала, реорганизация, включая слияние и (или) присоединение, заключение существенных сделок </w:t>
            </w:r>
            <w:hyperlink w:anchor="P83" w:history="1">
              <w:r>
                <w:rPr>
                  <w:color w:val="0000FF"/>
                </w:rPr>
                <w:t>&lt;11&gt;</w:t>
              </w:r>
            </w:hyperlink>
            <w:r>
              <w:t>, формирование органов управления, внесение изменений в устав, проведение собраний владельцев эмиссионных ценных бумаг.</w:t>
            </w:r>
          </w:p>
        </w:tc>
      </w:tr>
    </w:tbl>
    <w:p w:rsidR="0029168D" w:rsidRDefault="0029168D">
      <w:pPr>
        <w:pStyle w:val="ConsPlusNormal"/>
        <w:jc w:val="both"/>
      </w:pPr>
    </w:p>
    <w:p w:rsidR="0029168D" w:rsidRDefault="0029168D">
      <w:pPr>
        <w:pStyle w:val="ConsPlusNormal"/>
        <w:ind w:firstLine="540"/>
        <w:jc w:val="both"/>
      </w:pPr>
      <w:r>
        <w:t>--------------------------------</w:t>
      </w:r>
    </w:p>
    <w:p w:rsidR="0029168D" w:rsidRDefault="0029168D">
      <w:pPr>
        <w:pStyle w:val="ConsPlusNormal"/>
        <w:spacing w:before="220"/>
        <w:ind w:firstLine="540"/>
        <w:jc w:val="both"/>
      </w:pPr>
      <w:bookmarkStart w:id="4" w:name="P83"/>
      <w:bookmarkEnd w:id="4"/>
      <w:r>
        <w:t xml:space="preserve">&lt;11&gt; В соответствии с </w:t>
      </w:r>
      <w:hyperlink r:id="rId8" w:history="1">
        <w:r>
          <w:rPr>
            <w:color w:val="0000FF"/>
          </w:rPr>
          <w:t>Кодексом</w:t>
        </w:r>
      </w:hyperlink>
      <w:r>
        <w:t xml:space="preserve"> корпоративного управления, рекомендованного к применению акционерными обществами, ценные бумаги которых допущены к организованным торгам письмом Банка России от 10.04.2014 N 06-52/2463, под существенными сделками общества понимаются крупные сделки общества, существенные для общества сделки с заинтересованностью (существенность при этом определяет общество), а также иные сделки, которые общество признает для себя существенными.</w:t>
      </w:r>
    </w:p>
    <w:p w:rsidR="0029168D" w:rsidRDefault="0029168D">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097"/>
        <w:gridCol w:w="340"/>
        <w:gridCol w:w="6633"/>
      </w:tblGrid>
      <w:tr w:rsidR="0029168D">
        <w:tc>
          <w:tcPr>
            <w:tcW w:w="2097" w:type="dxa"/>
            <w:tcBorders>
              <w:top w:val="nil"/>
              <w:left w:val="nil"/>
              <w:bottom w:val="nil"/>
              <w:right w:val="nil"/>
            </w:tcBorders>
          </w:tcPr>
          <w:p w:rsidR="0029168D" w:rsidRDefault="0029168D">
            <w:pPr>
              <w:pStyle w:val="ConsPlusNormal"/>
              <w:jc w:val="both"/>
            </w:pPr>
            <w:r>
              <w:t>Ответственное инвестирование</w:t>
            </w:r>
          </w:p>
        </w:tc>
        <w:tc>
          <w:tcPr>
            <w:tcW w:w="340" w:type="dxa"/>
            <w:tcBorders>
              <w:top w:val="nil"/>
              <w:left w:val="nil"/>
              <w:bottom w:val="nil"/>
              <w:right w:val="nil"/>
            </w:tcBorders>
          </w:tcPr>
          <w:p w:rsidR="0029168D" w:rsidRDefault="0029168D">
            <w:pPr>
              <w:pStyle w:val="ConsPlusNormal"/>
              <w:jc w:val="center"/>
            </w:pPr>
            <w:r>
              <w:t>-</w:t>
            </w:r>
          </w:p>
        </w:tc>
        <w:tc>
          <w:tcPr>
            <w:tcW w:w="6633" w:type="dxa"/>
            <w:tcBorders>
              <w:top w:val="nil"/>
              <w:left w:val="nil"/>
              <w:bottom w:val="nil"/>
              <w:right w:val="nil"/>
            </w:tcBorders>
          </w:tcPr>
          <w:p w:rsidR="0029168D" w:rsidRDefault="0029168D">
            <w:pPr>
              <w:pStyle w:val="ConsPlusNormal"/>
              <w:jc w:val="both"/>
            </w:pPr>
            <w:r>
              <w:t>инвестирование, базирующееся в том числе на стремлении Инвестора содействовать устойчивому развитию Общества в целях увеличения доходности инвестиций своих клиентов и выгодоприобретателей при приемлемом уровне риска и выражающееся в учете факторов устойчивого развития в процессе инвестиционной деятельности, осуществлении оценки и мониторинга объектов инвестиций, добросовестном осуществлении прав акционера и взаимодействии с Обществами, а также раскрытии Инвестором информации о применяемых им подходах и политиках в области ответственного инвестирования.</w:t>
            </w:r>
          </w:p>
        </w:tc>
      </w:tr>
    </w:tbl>
    <w:p w:rsidR="0029168D" w:rsidRDefault="0029168D">
      <w:pPr>
        <w:pStyle w:val="ConsPlusNormal"/>
        <w:jc w:val="both"/>
      </w:pPr>
    </w:p>
    <w:p w:rsidR="0029168D" w:rsidRDefault="0029168D">
      <w:pPr>
        <w:pStyle w:val="ConsPlusTitle"/>
        <w:ind w:firstLine="540"/>
        <w:jc w:val="both"/>
        <w:outlineLvl w:val="1"/>
      </w:pPr>
      <w:r>
        <w:t>Принципы ответственного инвестирования</w:t>
      </w:r>
    </w:p>
    <w:p w:rsidR="0029168D" w:rsidRDefault="0029168D">
      <w:pPr>
        <w:pStyle w:val="ConsPlusNormal"/>
        <w:jc w:val="both"/>
      </w:pPr>
    </w:p>
    <w:p w:rsidR="0029168D" w:rsidRDefault="0029168D">
      <w:pPr>
        <w:pStyle w:val="ConsPlusNormal"/>
        <w:ind w:firstLine="540"/>
        <w:jc w:val="both"/>
      </w:pPr>
      <w:r>
        <w:t>В целях защиты и повышения долгосрочной доходности вложений своих клиентов и выгодоприобретателей Инвестору рекомендуется придерживаться следующих принципов:</w:t>
      </w:r>
    </w:p>
    <w:p w:rsidR="0029168D" w:rsidRDefault="0029168D">
      <w:pPr>
        <w:pStyle w:val="ConsPlusNormal"/>
        <w:spacing w:before="220"/>
        <w:ind w:firstLine="540"/>
        <w:jc w:val="both"/>
      </w:pPr>
      <w:r>
        <w:t>Принцип 1. Определение Инвестором подходов к осуществлению ответственного инвестирования и раскрытие информации о принятых подходах;</w:t>
      </w:r>
    </w:p>
    <w:p w:rsidR="0029168D" w:rsidRDefault="0029168D">
      <w:pPr>
        <w:pStyle w:val="ConsPlusNormal"/>
        <w:spacing w:before="220"/>
        <w:ind w:firstLine="540"/>
        <w:jc w:val="both"/>
      </w:pPr>
      <w:r>
        <w:t>Принцип 2. Анализ и учет Инвестором факторов устойчивого развития при осуществлении инвестирования;</w:t>
      </w:r>
    </w:p>
    <w:p w:rsidR="0029168D" w:rsidRDefault="0029168D">
      <w:pPr>
        <w:pStyle w:val="ConsPlusNormal"/>
        <w:spacing w:before="220"/>
        <w:ind w:firstLine="540"/>
        <w:jc w:val="both"/>
      </w:pPr>
      <w:r>
        <w:t>Принцип 3. Осуществление Инвестором на постоянной основе анализа и оценки (мониторинга) Общества;</w:t>
      </w:r>
    </w:p>
    <w:p w:rsidR="0029168D" w:rsidRDefault="0029168D">
      <w:pPr>
        <w:pStyle w:val="ConsPlusNormal"/>
        <w:spacing w:before="220"/>
        <w:ind w:firstLine="540"/>
        <w:jc w:val="both"/>
      </w:pPr>
      <w:r>
        <w:t>Принцип 4. Реализация Инвестором корпоративных прав как самостоятельно, так и в сотрудничестве с другими Инвесторами;</w:t>
      </w:r>
    </w:p>
    <w:p w:rsidR="0029168D" w:rsidRDefault="0029168D">
      <w:pPr>
        <w:pStyle w:val="ConsPlusNormal"/>
        <w:spacing w:before="220"/>
        <w:ind w:firstLine="540"/>
        <w:jc w:val="both"/>
      </w:pPr>
      <w:r>
        <w:t>Принцип 5. Регулярное взаимодействие Инвестора с Обществом по значимым аспектам деятельности Общества;</w:t>
      </w:r>
    </w:p>
    <w:p w:rsidR="0029168D" w:rsidRDefault="0029168D">
      <w:pPr>
        <w:pStyle w:val="ConsPlusNormal"/>
        <w:spacing w:before="220"/>
        <w:ind w:firstLine="540"/>
        <w:jc w:val="both"/>
      </w:pPr>
      <w:r>
        <w:t>Принцип 6. Управление Инвестором конфликтом интересов в своей деятельности;</w:t>
      </w:r>
    </w:p>
    <w:p w:rsidR="0029168D" w:rsidRDefault="0029168D">
      <w:pPr>
        <w:pStyle w:val="ConsPlusNormal"/>
        <w:spacing w:before="220"/>
        <w:ind w:firstLine="540"/>
        <w:jc w:val="both"/>
      </w:pPr>
      <w:r>
        <w:t>Принцип 7. Учет факторов устойчивого развития при выборе и организации Инвестором взаимодействия с доверительными управляющими (в случае их наличия).</w:t>
      </w:r>
    </w:p>
    <w:p w:rsidR="0029168D" w:rsidRDefault="0029168D">
      <w:pPr>
        <w:pStyle w:val="ConsPlusNormal"/>
        <w:jc w:val="both"/>
      </w:pPr>
    </w:p>
    <w:p w:rsidR="0029168D" w:rsidRDefault="0029168D">
      <w:pPr>
        <w:pStyle w:val="ConsPlusTitle"/>
        <w:ind w:firstLine="540"/>
        <w:jc w:val="both"/>
        <w:outlineLvl w:val="1"/>
      </w:pPr>
      <w:r>
        <w:t>Рекомендации по реализации Принципов ответственного инвестирования</w:t>
      </w:r>
    </w:p>
    <w:p w:rsidR="0029168D" w:rsidRDefault="0029168D">
      <w:pPr>
        <w:pStyle w:val="ConsPlusNormal"/>
        <w:jc w:val="both"/>
      </w:pPr>
    </w:p>
    <w:p w:rsidR="0029168D" w:rsidRDefault="0029168D">
      <w:pPr>
        <w:pStyle w:val="ConsPlusTitle"/>
        <w:ind w:firstLine="540"/>
        <w:jc w:val="both"/>
        <w:outlineLvl w:val="2"/>
      </w:pPr>
      <w:r>
        <w:t>Принцип 1. Определение Инвестором подходов к осуществлению ответственного инвестирования и раскрытие информации о принятых подходах</w:t>
      </w:r>
    </w:p>
    <w:p w:rsidR="0029168D" w:rsidRDefault="0029168D">
      <w:pPr>
        <w:pStyle w:val="ConsPlusNormal"/>
        <w:spacing w:before="220"/>
        <w:ind w:firstLine="540"/>
        <w:jc w:val="both"/>
      </w:pPr>
      <w:r>
        <w:t xml:space="preserve">1.1. Инвестору рекомендуется определить подходы к осуществлению инвестирования, нацеленные на сохранение и увеличение доходности вложений клиентов и выгодоприобретателей, повышение капитализации Общества в долгосрочной перспективе, с учетом интересов клиентов и выгодоприобретателей, а также факторов устойчивого развития. При </w:t>
      </w:r>
      <w:r>
        <w:lastRenderedPageBreak/>
        <w:t>разработке подходов к осуществлению инвестирования Инвестору рекомендуется руководствоваться настоящими Рекомендациями с учетом установленных законодательством Российской Федерации ограничений и требований к порядку инвестирования &lt;12&gt;.</w:t>
      </w:r>
    </w:p>
    <w:p w:rsidR="0029168D" w:rsidRDefault="0029168D">
      <w:pPr>
        <w:pStyle w:val="ConsPlusNormal"/>
        <w:spacing w:before="220"/>
        <w:ind w:firstLine="540"/>
        <w:jc w:val="both"/>
      </w:pPr>
      <w:r>
        <w:t>--------------------------------</w:t>
      </w:r>
    </w:p>
    <w:p w:rsidR="0029168D" w:rsidRDefault="0029168D">
      <w:pPr>
        <w:pStyle w:val="ConsPlusNormal"/>
        <w:spacing w:before="220"/>
        <w:ind w:firstLine="540"/>
        <w:jc w:val="both"/>
      </w:pPr>
      <w:r>
        <w:t xml:space="preserve">&lt;12&gt; См. например, </w:t>
      </w:r>
      <w:hyperlink r:id="rId9" w:history="1">
        <w:r>
          <w:rPr>
            <w:color w:val="0000FF"/>
          </w:rPr>
          <w:t>ст. 24.1</w:t>
        </w:r>
      </w:hyperlink>
      <w:r>
        <w:t xml:space="preserve">, </w:t>
      </w:r>
      <w:hyperlink r:id="rId10" w:history="1">
        <w:r>
          <w:rPr>
            <w:color w:val="0000FF"/>
          </w:rPr>
          <w:t>25</w:t>
        </w:r>
      </w:hyperlink>
      <w:r>
        <w:t xml:space="preserve">, </w:t>
      </w:r>
      <w:hyperlink r:id="rId11" w:history="1">
        <w:r>
          <w:rPr>
            <w:color w:val="0000FF"/>
          </w:rPr>
          <w:t>25.1</w:t>
        </w:r>
      </w:hyperlink>
      <w:r>
        <w:t xml:space="preserve"> Федерального закона от 07.05.1998 N 75-ФЗ "О негосударственных пенсионных фондах", </w:t>
      </w:r>
      <w:hyperlink r:id="rId12" w:history="1">
        <w:r>
          <w:rPr>
            <w:color w:val="0000FF"/>
          </w:rPr>
          <w:t>Положение</w:t>
        </w:r>
      </w:hyperlink>
      <w:r>
        <w:t xml:space="preserve"> Банка России от 01.03.2017 N 580-П "Об установлении дополнительных ограничений на инвестирование средств пенсионных накоплений негосударственного пенсионного фонда, осуществляющего обязательное пенсионное страхование, случаев, когда управляющая компания, действуя в качестве доверительного управляющего средствами пенсионных накоплений, вправе заключать договоры репо, требований, направленных на ограничение рисков, при условии соблюдения которых такая управляющая компания вправе заключать договоры, являющиеся производными финансовыми инструментами, дополнительных требований к кредитным организациям, в которых размещаются средства пенсионных накоплений и накопления для жилищного обеспечения военнослужащих, а также дополнительного требования, которое управляющая компания обязана соблюдать в период действия договора доверительного управления средствами пенсионных накоплений для финансирования накопительной пенсии", </w:t>
      </w:r>
      <w:hyperlink r:id="rId13" w:history="1">
        <w:r>
          <w:rPr>
            <w:color w:val="0000FF"/>
          </w:rPr>
          <w:t>Постановление</w:t>
        </w:r>
      </w:hyperlink>
      <w:r>
        <w:t xml:space="preserve"> Правительства Российской Федерации от 01.02.2007 N 63 "Об утверждении Правил размещения средств пенсионных резервов негосударственных пенсионных фондов и контроля за их размещением", </w:t>
      </w:r>
      <w:hyperlink r:id="rId14" w:history="1">
        <w:r>
          <w:rPr>
            <w:color w:val="0000FF"/>
          </w:rPr>
          <w:t>Указание</w:t>
        </w:r>
      </w:hyperlink>
      <w:r>
        <w:t xml:space="preserve"> Банка России от 22.02.2017 N 4297-У "О порядке инвестирования средств страховых резервов и перечне разрешенных для инвестирования активов", </w:t>
      </w:r>
      <w:hyperlink r:id="rId15" w:history="1">
        <w:r>
          <w:rPr>
            <w:color w:val="0000FF"/>
          </w:rPr>
          <w:t>Указание</w:t>
        </w:r>
      </w:hyperlink>
      <w:r>
        <w:t xml:space="preserve"> Банка России от 22.02.2017 N 4298-У "О порядке инвестирования собственных средств (капитала) страховщика и перечне разрешенных для инвестирования активов".</w:t>
      </w:r>
    </w:p>
    <w:p w:rsidR="0029168D" w:rsidRDefault="0029168D">
      <w:pPr>
        <w:pStyle w:val="ConsPlusNormal"/>
        <w:jc w:val="both"/>
      </w:pPr>
    </w:p>
    <w:p w:rsidR="0029168D" w:rsidRDefault="0029168D">
      <w:pPr>
        <w:pStyle w:val="ConsPlusNormal"/>
        <w:ind w:firstLine="540"/>
        <w:jc w:val="both"/>
      </w:pPr>
      <w:r>
        <w:t xml:space="preserve">1.2. Инвестору рекомендуется раскрывать актуальную информацию о применяемых им подходах к осуществлению ответственного инвестирования, в том числе посредством раскрытия указанной информации путем опубликования на официальном сайте Инвестора в информационно-телекоммуникационной сети "Интернет" (далее - официальный сайт в сети "Интернет") отчета или заявления об осуществлении ответственного инвестирования, </w:t>
      </w:r>
      <w:proofErr w:type="gramStart"/>
      <w:r>
        <w:t>например</w:t>
      </w:r>
      <w:proofErr w:type="gramEnd"/>
      <w:r>
        <w:t xml:space="preserve"> в отдельном разделе официального сайта в сети "Интернет". В случае принятия Инвестором политик, связанных с ответственным инвестированием (например, политики по ответственному инвестированию, политики по голосованию, политики по взаимодействию с Обществом), Инвестору рекомендуется раскрывать указанные политики на официальном сайте в сети "Интернет". Инвестору рекомендуется обеспечить свободный и необременительный доступ к указанной информации для клиентов Инвестора, выгодоприобретателей и иных заинтересованных лиц.</w:t>
      </w:r>
    </w:p>
    <w:p w:rsidR="0029168D" w:rsidRDefault="0029168D">
      <w:pPr>
        <w:pStyle w:val="ConsPlusNormal"/>
        <w:spacing w:before="220"/>
        <w:ind w:firstLine="540"/>
        <w:jc w:val="both"/>
      </w:pPr>
      <w:r>
        <w:t>1.3. Инвестору рекомендуется определять свою организационную структуру, в том числе в части определения функций и ответственности органов управления, организации системы корпоративного управления и системы вознаграждения, выделения кадровых, информационных и материальных ресурсов, с учетом принятых подходов к осуществлению ответственного инвестирования.</w:t>
      </w:r>
    </w:p>
    <w:p w:rsidR="0029168D" w:rsidRDefault="0029168D">
      <w:pPr>
        <w:pStyle w:val="ConsPlusNormal"/>
        <w:spacing w:before="220"/>
        <w:ind w:firstLine="540"/>
        <w:jc w:val="both"/>
      </w:pPr>
      <w:r>
        <w:t xml:space="preserve">1.4. Инвестору рекомендуется на регулярной основе осуществлять оценку эффективности применяемых им подходов к осуществлению ответственного инвестирования для того, чтобы убедиться, что выбранные подходы обеспечивают эффективное осуществление деятельности по ответственному инвестированию. По итогам указанной оценки Инвестору рекомендуется при необходимости проводить пересмотр принятых им политик, связанных с ответственным инвестированием (например, политики по ответственному инвестированию, политики по голосованию, политики по взаимодействию с Обществом), а также пересмотр порядка (например, срока, периодичности, формы представления) и содержания раскрываемой информации об осуществляемой им деятельности по ответственному инвестированию. Положительной практикой является предоставление внутренними (например, внутренним аудитором Инвестора) и (или) </w:t>
      </w:r>
      <w:r>
        <w:lastRenderedPageBreak/>
        <w:t>внешними экспертами заверений и гарантий того, что политика по ответственному инвестированию Инвестора на практике отвечает установленным в ней целям и задачам, а также постоянно совершенствуется.</w:t>
      </w:r>
    </w:p>
    <w:p w:rsidR="0029168D" w:rsidRDefault="0029168D">
      <w:pPr>
        <w:pStyle w:val="ConsPlusNormal"/>
        <w:spacing w:before="220"/>
        <w:ind w:firstLine="540"/>
        <w:jc w:val="both"/>
      </w:pPr>
      <w:r>
        <w:t>1.5. Инвесторам рекомендуется при обращении за консультационными услугами (в том числе, но не ограничиваясь, услугами инвестиционного планирования, разработки инвестиционных стратегий, осуществления прав инвесторов) обращать внимание на учет принципов ответственного инвестирования лицами, которых планируется привлечь для оказания соответствующих услуг. При этом Инвестору рекомендуется доводить до сведения указанных лиц ожидания и намерения Инвестора в отношении учета факторов устойчивого развития.</w:t>
      </w:r>
    </w:p>
    <w:p w:rsidR="0029168D" w:rsidRDefault="0029168D">
      <w:pPr>
        <w:pStyle w:val="ConsPlusNormal"/>
        <w:spacing w:before="220"/>
        <w:ind w:firstLine="540"/>
        <w:jc w:val="both"/>
      </w:pPr>
      <w:r>
        <w:t>1.6. Инвестору рекомендуется способствовать продвижению целей устойчивого развития в Российской Федерации, в том числе путем поддержки научно-исследовательской деятельности, проведения обучающих мероприятий для заинтересованных лиц.</w:t>
      </w:r>
    </w:p>
    <w:p w:rsidR="0029168D" w:rsidRDefault="0029168D">
      <w:pPr>
        <w:pStyle w:val="ConsPlusNormal"/>
        <w:jc w:val="both"/>
      </w:pPr>
    </w:p>
    <w:p w:rsidR="0029168D" w:rsidRDefault="0029168D">
      <w:pPr>
        <w:pStyle w:val="ConsPlusTitle"/>
        <w:ind w:firstLine="540"/>
        <w:jc w:val="both"/>
        <w:outlineLvl w:val="2"/>
      </w:pPr>
      <w:r>
        <w:t>Принцип 2. Анализ и учет Инвестором факторов устойчивого развития при осуществлении инвестирования</w:t>
      </w:r>
    </w:p>
    <w:p w:rsidR="0029168D" w:rsidRDefault="0029168D">
      <w:pPr>
        <w:pStyle w:val="ConsPlusNormal"/>
        <w:spacing w:before="220"/>
        <w:ind w:firstLine="540"/>
        <w:jc w:val="both"/>
      </w:pPr>
      <w:r>
        <w:t xml:space="preserve">2.1. Инвестору при проведении анализа объекта инвестиций, оценке инвестиционной стратегии и эффективности деятельности Общества, принятии решений в отношении объекта инвестиций наряду с финансовыми показателями рекомендуется учитывать факторы устойчивого развития и сопряженные с ними риски, которые Инвестор </w:t>
      </w:r>
      <w:proofErr w:type="gramStart"/>
      <w:r>
        <w:t>оценивает</w:t>
      </w:r>
      <w:proofErr w:type="gramEnd"/>
      <w:r>
        <w:t xml:space="preserve"> как существенные (далее - существенные риски).</w:t>
      </w:r>
    </w:p>
    <w:p w:rsidR="0029168D" w:rsidRDefault="0029168D">
      <w:pPr>
        <w:pStyle w:val="ConsPlusNormal"/>
        <w:spacing w:before="220"/>
        <w:ind w:firstLine="540"/>
        <w:jc w:val="both"/>
      </w:pPr>
      <w:r>
        <w:t>2.2. Факторы устойчивого развития и сопряженные с ними существенные риски рекомендуется анализировать с использованием качественных и количественных данных при проведении анализа объекта инвестиций, оценке инвестиционной стратегии и эффективности деятельности Общества, принятии решений в отношении объекта инвестиций. Факторы устойчивого развития рекомендуется анализировать в отношении всех организаций, которые вместе с Обществом в соответствии с Международными стандартами финансовой отчетности определяются как группа &lt;13&gt;. Анализ факторов устойчивого развития рекомендуется осуществлять в отношении как минимум объекта инвестиций, составляющего большую часть портфеля Инвестора по стоимости инвестиций, а также иных значимых для Инвестора объектов инвестиций &lt;14&gt;.</w:t>
      </w:r>
    </w:p>
    <w:p w:rsidR="0029168D" w:rsidRDefault="0029168D">
      <w:pPr>
        <w:pStyle w:val="ConsPlusNormal"/>
        <w:spacing w:before="220"/>
        <w:ind w:firstLine="540"/>
        <w:jc w:val="both"/>
      </w:pPr>
      <w:r>
        <w:t>--------------------------------</w:t>
      </w:r>
    </w:p>
    <w:p w:rsidR="0029168D" w:rsidRDefault="0029168D">
      <w:pPr>
        <w:pStyle w:val="ConsPlusNormal"/>
        <w:spacing w:before="220"/>
        <w:ind w:firstLine="540"/>
        <w:jc w:val="both"/>
      </w:pPr>
      <w:r>
        <w:t xml:space="preserve">&lt;13&gt; Указанную группу рекомендуется определять в соответствии с Международными стандартами финансовой отчетности, введенными в действие на территории Российской Федерации в соответствии с </w:t>
      </w:r>
      <w:hyperlink r:id="rId16" w:history="1">
        <w:r>
          <w:rPr>
            <w:color w:val="0000FF"/>
          </w:rPr>
          <w:t>постановлением</w:t>
        </w:r>
      </w:hyperlink>
      <w:r>
        <w:t xml:space="preserve"> Правительства Российской Федерации от 25 февраля 2011 года N 107 "Об утверждении Положения о признании Международных стандартов финансовой отчетности и Разъяснений Международных стандартов финансовой отчетности для применения на территории Российской Федерации" (Собрание законодательства Российской Федерации, 2011, N 10, ст. 1385; 2013, N 36, ст. 4578).</w:t>
      </w:r>
    </w:p>
    <w:p w:rsidR="0029168D" w:rsidRDefault="0029168D">
      <w:pPr>
        <w:pStyle w:val="ConsPlusNormal"/>
        <w:spacing w:before="220"/>
        <w:ind w:firstLine="540"/>
        <w:jc w:val="both"/>
      </w:pPr>
      <w:r>
        <w:t>&lt;14&gt; Значимость объектов инвестиций в портфеле определяется Инвестором самостоятельно с учетом величины портфеля, инвестиционной стратегии и иных факторов.</w:t>
      </w:r>
    </w:p>
    <w:p w:rsidR="0029168D" w:rsidRDefault="0029168D">
      <w:pPr>
        <w:pStyle w:val="ConsPlusNormal"/>
        <w:jc w:val="both"/>
      </w:pPr>
    </w:p>
    <w:p w:rsidR="0029168D" w:rsidRDefault="0029168D">
      <w:pPr>
        <w:pStyle w:val="ConsPlusNormal"/>
        <w:ind w:firstLine="540"/>
        <w:jc w:val="both"/>
      </w:pPr>
      <w:bookmarkStart w:id="5" w:name="P120"/>
      <w:bookmarkEnd w:id="5"/>
      <w:r>
        <w:t xml:space="preserve">2.3. В числе экологических факторов устойчивого развития и сопряженных с ними рисков рекомендуется принимать во внимание, в том числе, но не ограничиваясь, данные по выбросам парниковых газов &lt;15&gt;, энергопотреблению, потреблению воды, образованию отходов, сведения об управлении водопотреблением и обращению с отходами, политику Общества в области охраны окружающей среды и его затраты в указанной сфере, иные значимые факторы воздействия Общества на окружающую среду и сопряженные с ними риски. Рекомендуется оценивать качество управления Обществом экологическими и климатическими рисками и реализуемые Обществом </w:t>
      </w:r>
      <w:r>
        <w:lastRenderedPageBreak/>
        <w:t>проекты в экологической сфере.</w:t>
      </w:r>
    </w:p>
    <w:p w:rsidR="0029168D" w:rsidRDefault="0029168D">
      <w:pPr>
        <w:pStyle w:val="ConsPlusNormal"/>
        <w:spacing w:before="220"/>
        <w:ind w:firstLine="540"/>
        <w:jc w:val="both"/>
      </w:pPr>
      <w:r>
        <w:t>--------------------------------</w:t>
      </w:r>
    </w:p>
    <w:p w:rsidR="0029168D" w:rsidRDefault="0029168D">
      <w:pPr>
        <w:pStyle w:val="ConsPlusNormal"/>
        <w:spacing w:before="220"/>
        <w:ind w:firstLine="540"/>
        <w:jc w:val="both"/>
      </w:pPr>
      <w:r>
        <w:t>&lt;15</w:t>
      </w:r>
      <w:proofErr w:type="gramStart"/>
      <w:r>
        <w:t>&gt; Например</w:t>
      </w:r>
      <w:proofErr w:type="gramEnd"/>
      <w:r>
        <w:t>, используя данные, добровольно раскрываемые обществами в соответствии с Проектом раскрытия информации о выбросах углерода (Carbon Disclosure Project), Рекомендациями Целевой группы по раскрытию финансовой отчетности, связанной с климатом (Task Force on Climate-related Financial Disclosures).</w:t>
      </w:r>
    </w:p>
    <w:p w:rsidR="0029168D" w:rsidRDefault="0029168D">
      <w:pPr>
        <w:pStyle w:val="ConsPlusNormal"/>
        <w:jc w:val="both"/>
      </w:pPr>
    </w:p>
    <w:p w:rsidR="0029168D" w:rsidRDefault="0029168D">
      <w:pPr>
        <w:pStyle w:val="ConsPlusNormal"/>
        <w:ind w:firstLine="540"/>
        <w:jc w:val="both"/>
      </w:pPr>
      <w:r>
        <w:t>2.4. В числе социальных факторов устойчивого развития и сопряженных с ними рисков рекомендуется принимать во внимание социальные факторы, в том числе, но не ограничиваясь, условия труда работников, расходы на оплату труда, размер средней заработной платы, текучесть кадров, мероприятия по охране труда, данные по несчастным случаям, расходы на обучение сотрудников, нарушения трудовых прав работников, подходы к формированию человеческого капитала &lt;16&gt;, вклад в развитие регионов, благотворительность, управление цепочками поставок и иные значимые для Общества социальные факторы устойчивого развития и сопряженные с ними риски. Рекомендуется оценивать качество управления Обществом рисками, сопряженными с социальными факторами устойчивого развития, и реализуемые Обществом проекты в социальной сфере.</w:t>
      </w:r>
    </w:p>
    <w:p w:rsidR="0029168D" w:rsidRDefault="0029168D">
      <w:pPr>
        <w:pStyle w:val="ConsPlusNormal"/>
        <w:spacing w:before="220"/>
        <w:ind w:firstLine="540"/>
        <w:jc w:val="both"/>
      </w:pPr>
      <w:r>
        <w:t>--------------------------------</w:t>
      </w:r>
    </w:p>
    <w:p w:rsidR="0029168D" w:rsidRDefault="0029168D">
      <w:pPr>
        <w:pStyle w:val="ConsPlusNormal"/>
        <w:spacing w:before="220"/>
        <w:ind w:firstLine="540"/>
        <w:jc w:val="both"/>
      </w:pPr>
      <w:r>
        <w:t>&lt;16&gt; Под формированием человеческого капитала понимаются, в том числе, но не ограничиваясь, следующие действия Общества: формирование системы управления карьерой, создание и оценка компетенций, вознаграждение эффективной деятельности, управление стрессом и давлением, планирование преемственности компетенций и (или) функций, организация повышения квалификации для специалистов, создание социально комфортных условий для развития и повышения уровня/качества жизни.</w:t>
      </w:r>
    </w:p>
    <w:p w:rsidR="0029168D" w:rsidRDefault="0029168D">
      <w:pPr>
        <w:pStyle w:val="ConsPlusNormal"/>
        <w:jc w:val="both"/>
      </w:pPr>
    </w:p>
    <w:p w:rsidR="0029168D" w:rsidRDefault="0029168D">
      <w:pPr>
        <w:pStyle w:val="ConsPlusNormal"/>
        <w:ind w:firstLine="540"/>
        <w:jc w:val="both"/>
      </w:pPr>
      <w:bookmarkStart w:id="6" w:name="P128"/>
      <w:bookmarkEnd w:id="6"/>
      <w:r>
        <w:t xml:space="preserve">2.5. В числе факторов корпоративного управления рекомендуется принимать во внимание, в том числе, но не ограничиваясь, структуру капитала Общества, наличие контролирующего акционера Общества, подконтрольных Обществу лиц, историю управления Обществом, его роль и место в экономике государства, историю общих собраний акционеров Общества (кворум, повестки, практику ведения, применение Обществом прогрессивных технологий при проведении собраний), обеспечение прав владельцев ценных бумаг в ходе корпоративных действий (включая историю заключения существенных сделок, влекущих конфликт интересов заинтересованных лиц и Общества), практику внедрения Обществом рекомендаций </w:t>
      </w:r>
      <w:hyperlink r:id="rId17" w:history="1">
        <w:r>
          <w:rPr>
            <w:color w:val="0000FF"/>
          </w:rPr>
          <w:t>Кодекса</w:t>
        </w:r>
      </w:hyperlink>
      <w:r>
        <w:t xml:space="preserve"> корпоративного управления &lt;17&gt;, эффективность системы управления в Обществе, в том числе состав и результаты оценки эффективности деятельности совета директоров, осуществление внутреннего контроля и управления рисками, внутреннего аудита, реализуемые Обществом процедуры управления конфликтом интересов, подходы и практику выплаты вознаграждения членам органов управления и ключевым сотрудникам Общества, подходы и применяемые Обществом практики раскрытия информации в области социальной и экологической ответственности, в том числе рекомендованные </w:t>
      </w:r>
      <w:hyperlink r:id="rId18" w:history="1">
        <w:r>
          <w:rPr>
            <w:color w:val="0000FF"/>
          </w:rPr>
          <w:t>Кодексом</w:t>
        </w:r>
      </w:hyperlink>
      <w:r>
        <w:t xml:space="preserve"> корпоративного управления.</w:t>
      </w:r>
    </w:p>
    <w:p w:rsidR="0029168D" w:rsidRDefault="0029168D">
      <w:pPr>
        <w:pStyle w:val="ConsPlusNormal"/>
        <w:spacing w:before="220"/>
        <w:ind w:firstLine="540"/>
        <w:jc w:val="both"/>
      </w:pPr>
      <w:r>
        <w:t>--------------------------------</w:t>
      </w:r>
    </w:p>
    <w:p w:rsidR="0029168D" w:rsidRDefault="0029168D">
      <w:pPr>
        <w:pStyle w:val="ConsPlusNormal"/>
        <w:spacing w:before="220"/>
        <w:ind w:firstLine="540"/>
        <w:jc w:val="both"/>
      </w:pPr>
      <w:r>
        <w:t xml:space="preserve">&lt;17&gt; </w:t>
      </w:r>
      <w:hyperlink r:id="rId19" w:history="1">
        <w:r>
          <w:rPr>
            <w:color w:val="0000FF"/>
          </w:rPr>
          <w:t>Кодекс</w:t>
        </w:r>
      </w:hyperlink>
      <w:r>
        <w:t xml:space="preserve"> корпоративного управления, рекомендованный письмом Банка России от 10.04.2014 N 06-52/2463 к применению акционерными обществами, ценные бумаги которых допущены к организованным торгам (далее - Кодекс корпоративного управления).</w:t>
      </w:r>
    </w:p>
    <w:p w:rsidR="0029168D" w:rsidRDefault="0029168D">
      <w:pPr>
        <w:pStyle w:val="ConsPlusNormal"/>
        <w:jc w:val="both"/>
      </w:pPr>
    </w:p>
    <w:p w:rsidR="0029168D" w:rsidRDefault="0029168D">
      <w:pPr>
        <w:pStyle w:val="ConsPlusNormal"/>
        <w:ind w:firstLine="540"/>
        <w:jc w:val="both"/>
      </w:pPr>
      <w:r>
        <w:t>2.6. Инвестору рекомендуется разработать правила анализа и учета факторов устойчивого развития и опубликовать их на официальном сайте в сети "Интернет". Рекомендуется включить такие правила в инвестиционную политику Инвестора.</w:t>
      </w:r>
    </w:p>
    <w:p w:rsidR="0029168D" w:rsidRDefault="0029168D">
      <w:pPr>
        <w:pStyle w:val="ConsPlusNormal"/>
        <w:spacing w:before="220"/>
        <w:ind w:firstLine="540"/>
        <w:jc w:val="both"/>
      </w:pPr>
      <w:r>
        <w:lastRenderedPageBreak/>
        <w:t>2.7. Интеграция анализа факторов устойчивого развития и связанных с ними рисков в процесс принятия инвестиционных решений, оценка долгосрочных перспектив развития Общества и его будущей стоимости с учетом указанных факторов может стать определяющим критерием при выборе объекта инвестиций между Обществами с аналогичными финансовыми показателями, поскольку способствует выявлению скрытых рисков, которые могут остаться незамеченными без учета факторов устойчивого развития.</w:t>
      </w:r>
    </w:p>
    <w:p w:rsidR="0029168D" w:rsidRDefault="0029168D">
      <w:pPr>
        <w:pStyle w:val="ConsPlusNormal"/>
        <w:spacing w:before="220"/>
        <w:ind w:firstLine="540"/>
        <w:jc w:val="both"/>
      </w:pPr>
      <w:r>
        <w:t>2.8. Источником информации об управлении Обществом рисками и возможностями, связанными с факторами устойчивого развития, может служить периодическая отчетность Общества, размещенная в публичном доступе, отчеты Общества в области устойчивого развития &lt;18&gt;, публичная информация в средствах массовой информации. Инвесторам рекомендуется изучить информацию о принятии Обществом (в том числе путем закрепления соответствующих принципов устойчивого развития во внутренних документах Общества и их интеграции в бизнес-процессы) или о присоединении (следовании) Общества к стандартам, кодексам поведения или международным инициативам &lt;19&gt; в области устойчивого развития.</w:t>
      </w:r>
    </w:p>
    <w:p w:rsidR="0029168D" w:rsidRDefault="0029168D">
      <w:pPr>
        <w:pStyle w:val="ConsPlusNormal"/>
        <w:spacing w:before="220"/>
        <w:ind w:firstLine="540"/>
        <w:jc w:val="both"/>
      </w:pPr>
      <w:r>
        <w:t>--------------------------------</w:t>
      </w:r>
    </w:p>
    <w:p w:rsidR="0029168D" w:rsidRDefault="0029168D">
      <w:pPr>
        <w:pStyle w:val="ConsPlusNormal"/>
        <w:spacing w:before="220"/>
        <w:ind w:firstLine="540"/>
        <w:jc w:val="both"/>
      </w:pPr>
      <w:r>
        <w:t>&lt;18&gt; Добровольное раскрытие информации в области устойчивого развития осуществляется Обществами в том числе в соответствии со Стандартами GRI, Международным стандартом ISO 26000:2010 "Руководство по социальной ответственности", Стандартами Institute of Social and Ethical Accountability AA1000SES, AA1000AP, Международным стандартом интегрированной отчетности (IR), Рекомендациями рабочей группы по вопросам раскрытия информации, касающейся изменения климата (TCFD), Стандартами Совета по стандартам отчетности устойчивого развития (SASB), Базовыми индикаторами результативности Российского союза промышленников и предпринимателей и иными стандартами.</w:t>
      </w:r>
    </w:p>
    <w:p w:rsidR="0029168D" w:rsidRDefault="0029168D">
      <w:pPr>
        <w:pStyle w:val="ConsPlusNormal"/>
        <w:spacing w:before="220"/>
        <w:ind w:firstLine="540"/>
        <w:jc w:val="both"/>
      </w:pPr>
      <w:r>
        <w:t xml:space="preserve">&lt;19&gt; Например, Глобальный договор ООН (UN Global Compact), Принципы ответственного инвестирования ООН (UN PRI), Всеобщая </w:t>
      </w:r>
      <w:hyperlink r:id="rId20" w:history="1">
        <w:r>
          <w:rPr>
            <w:color w:val="0000FF"/>
          </w:rPr>
          <w:t>декларация</w:t>
        </w:r>
      </w:hyperlink>
      <w:r>
        <w:t xml:space="preserve"> прав человека ООН, </w:t>
      </w:r>
      <w:hyperlink r:id="rId21" w:history="1">
        <w:r>
          <w:rPr>
            <w:color w:val="0000FF"/>
          </w:rPr>
          <w:t>Декларация</w:t>
        </w:r>
      </w:hyperlink>
      <w:r>
        <w:t xml:space="preserve"> по окружающей среде и развитию ООН, Руководящие принципы ОЭСР для многонациональных предприятий, </w:t>
      </w:r>
      <w:hyperlink r:id="rId22" w:history="1">
        <w:r>
          <w:rPr>
            <w:color w:val="0000FF"/>
          </w:rPr>
          <w:t>Декларация</w:t>
        </w:r>
      </w:hyperlink>
      <w:r>
        <w:t xml:space="preserve"> основополагающих прав и принципов в сфере труда Международной организации труда (МОТ), </w:t>
      </w:r>
      <w:hyperlink r:id="rId23" w:history="1">
        <w:r>
          <w:rPr>
            <w:color w:val="0000FF"/>
          </w:rPr>
          <w:t>Конвенция</w:t>
        </w:r>
      </w:hyperlink>
      <w:r>
        <w:t xml:space="preserve"> N 87 МОТ "Относительно свободы ассоциаций и защиты права на организацию", </w:t>
      </w:r>
      <w:hyperlink r:id="rId24" w:history="1">
        <w:r>
          <w:rPr>
            <w:color w:val="0000FF"/>
          </w:rPr>
          <w:t>Конвенция</w:t>
        </w:r>
      </w:hyperlink>
      <w:r>
        <w:t xml:space="preserve"> N 98 МОТ "Относительно применения принципов права на организацию и заключение коллективных договоров", </w:t>
      </w:r>
      <w:hyperlink r:id="rId25" w:history="1">
        <w:r>
          <w:rPr>
            <w:color w:val="0000FF"/>
          </w:rPr>
          <w:t>Конвенция</w:t>
        </w:r>
      </w:hyperlink>
      <w:r>
        <w:t xml:space="preserve"> N 111 МОТ "Относительно дискриминации в области труда и занятий" и иные.</w:t>
      </w:r>
    </w:p>
    <w:p w:rsidR="0029168D" w:rsidRDefault="0029168D">
      <w:pPr>
        <w:pStyle w:val="ConsPlusNormal"/>
        <w:jc w:val="both"/>
      </w:pPr>
    </w:p>
    <w:p w:rsidR="0029168D" w:rsidRDefault="0029168D">
      <w:pPr>
        <w:pStyle w:val="ConsPlusNormal"/>
        <w:ind w:firstLine="540"/>
        <w:jc w:val="both"/>
      </w:pPr>
      <w:r>
        <w:t xml:space="preserve">2.9. Инвесторам рекомендуется взаимодействовать с Обществом по вопросу раскрытия им информации об обеспечении устойчивого развития, предпочтительно в стандартизированной форме, </w:t>
      </w:r>
      <w:proofErr w:type="gramStart"/>
      <w:r>
        <w:t>например</w:t>
      </w:r>
      <w:proofErr w:type="gramEnd"/>
      <w:r>
        <w:t xml:space="preserve"> в соответствии с международно признанными стандартами, а также поддерживать инициативы акционеров Общества, направленные на внедрение лучших практик раскрытия информации, касающейся устойчивого развития.</w:t>
      </w:r>
    </w:p>
    <w:p w:rsidR="0029168D" w:rsidRDefault="0029168D">
      <w:pPr>
        <w:pStyle w:val="ConsPlusNormal"/>
        <w:jc w:val="both"/>
      </w:pPr>
    </w:p>
    <w:p w:rsidR="0029168D" w:rsidRDefault="0029168D">
      <w:pPr>
        <w:pStyle w:val="ConsPlusTitle"/>
        <w:ind w:firstLine="540"/>
        <w:jc w:val="both"/>
        <w:outlineLvl w:val="2"/>
      </w:pPr>
      <w:r>
        <w:t>Принцип 3. Осуществление Инвестором на постоянной основе анализа и оценки (мониторинга) Общества</w:t>
      </w:r>
    </w:p>
    <w:p w:rsidR="0029168D" w:rsidRDefault="0029168D">
      <w:pPr>
        <w:pStyle w:val="ConsPlusNormal"/>
        <w:spacing w:before="220"/>
        <w:ind w:firstLine="540"/>
        <w:jc w:val="both"/>
      </w:pPr>
      <w:r>
        <w:t xml:space="preserve">3.1. Инвестору рекомендуется на постоянной основе осуществлять анализ и оценку (мониторинг) различных значимых аспектов деятельности Общества, включая стратегию развития Общества, структуру капитала, управление рисками Общества, реализуемые практики корпоративного управления, корпоративную социальную ответственность, приверженность Общества принципам ответственного ведения бизнеса &lt;20&gt;, практику проведения корпоративных действий, качество раскрываемой информации (объем информации, ее достоверность и актуальность, соответствие требованиям законодательства Российской Федерации, своевременность раскрытия). Под значимыми аспектами деятельности Общества рекомендуется понимать те аспекты, которые способны повлиять на стоимость Общества и (или) стоимость ценных бумаг Общества в долгосрочной перспективе. Периметр и специфику мониторинга рекомендуется </w:t>
      </w:r>
      <w:r>
        <w:lastRenderedPageBreak/>
        <w:t>определять в зависимости от вида и характера деятельности Общества, а также от инвестиционной стратегии и политики Инвестора, его понимания тех аспектов устойчивого развития Общества, которые он сможет улучшить в долгосрочной перспективе путем добросовестного и разумного взаимодействия с Обществом. Инвестору рекомендуется проводить мониторинг на регулярной основе, начиная с этапа принятия решения об инвестировании в объект инвестиций и до момента выхода из него.</w:t>
      </w:r>
    </w:p>
    <w:p w:rsidR="0029168D" w:rsidRDefault="0029168D">
      <w:pPr>
        <w:pStyle w:val="ConsPlusNormal"/>
        <w:spacing w:before="220"/>
        <w:ind w:firstLine="540"/>
        <w:jc w:val="both"/>
      </w:pPr>
      <w:r>
        <w:t>--------------------------------</w:t>
      </w:r>
    </w:p>
    <w:p w:rsidR="0029168D" w:rsidRDefault="0029168D">
      <w:pPr>
        <w:pStyle w:val="ConsPlusNormal"/>
        <w:spacing w:before="220"/>
        <w:ind w:firstLine="540"/>
        <w:jc w:val="both"/>
      </w:pPr>
      <w:r>
        <w:t>&lt;20</w:t>
      </w:r>
      <w:proofErr w:type="gramStart"/>
      <w:r>
        <w:t>&gt; Например</w:t>
      </w:r>
      <w:proofErr w:type="gramEnd"/>
      <w:r>
        <w:t>, приверженность Руководящим принципам ОЭСР для многонациональных предприятий.</w:t>
      </w:r>
    </w:p>
    <w:p w:rsidR="0029168D" w:rsidRDefault="0029168D">
      <w:pPr>
        <w:pStyle w:val="ConsPlusNormal"/>
        <w:jc w:val="both"/>
      </w:pPr>
    </w:p>
    <w:p w:rsidR="0029168D" w:rsidRDefault="0029168D">
      <w:pPr>
        <w:pStyle w:val="ConsPlusNormal"/>
        <w:ind w:firstLine="540"/>
        <w:jc w:val="both"/>
      </w:pPr>
      <w:r>
        <w:t xml:space="preserve">3.2. В периметр мониторинга рекомендуется включить анализ управления Обществом рисками и возможностями, связанными с факторами устойчивого развития. При этом в целях оптимизации процедуры такого мониторинга Инвестору рекомендуется использовать риск-ориентированный подход, сфокусировать внимание на области/сфере с наиболее существенными (по мнению Инвестора) рисками, связанными с факторами устойчивого развития, и провести первичный отбор Обществ для проведения дальнейшей оценки. При реализации риск-ориентированного подхода рекомендуется принимать во внимание риски, присущие определенным видам деятельности/сектору (секторам) экономики, в которых Общество осуществляет свою деятельность, и риски, связанные непосредственно с самим Обществом, </w:t>
      </w:r>
      <w:proofErr w:type="gramStart"/>
      <w:r>
        <w:t>например</w:t>
      </w:r>
      <w:proofErr w:type="gramEnd"/>
      <w:r>
        <w:t xml:space="preserve"> с неудовлетворительной динамикой какого-либо показателя устойчивого развития Общества.</w:t>
      </w:r>
    </w:p>
    <w:p w:rsidR="0029168D" w:rsidRDefault="0029168D">
      <w:pPr>
        <w:pStyle w:val="ConsPlusNormal"/>
        <w:spacing w:before="220"/>
        <w:ind w:firstLine="540"/>
        <w:jc w:val="both"/>
      </w:pPr>
      <w:r>
        <w:t>3.3. Инвестору рекомендуется на периодической основе осуществлять оценку эффективности проводимого им мониторинга в том числе посредством оценки достаточности количества осуществляющих мониторинг специалистов, их квалификации, достаточности источников информации и своевременности ее получения для оценки рисков и принятия решений в рамках осуществления мониторинга, а также при проведении анализа процесса эффективности осуществляемого взаимодействия с Обществом по полученным в ходе мониторинга результатам.</w:t>
      </w:r>
    </w:p>
    <w:p w:rsidR="0029168D" w:rsidRDefault="0029168D">
      <w:pPr>
        <w:pStyle w:val="ConsPlusNormal"/>
        <w:spacing w:before="220"/>
        <w:ind w:firstLine="540"/>
        <w:jc w:val="both"/>
      </w:pPr>
      <w:r>
        <w:t>3.4. Инвестору рекомендуется регламентировать процедуры и методы осуществления мониторинга, а также перечень мер, принимаемых по результатам мониторинга, включая меры по предотвращению и минимизации рисков, связанных с факторами устойчивого развития.</w:t>
      </w:r>
    </w:p>
    <w:p w:rsidR="0029168D" w:rsidRDefault="0029168D">
      <w:pPr>
        <w:pStyle w:val="ConsPlusNormal"/>
        <w:jc w:val="both"/>
      </w:pPr>
    </w:p>
    <w:p w:rsidR="0029168D" w:rsidRDefault="0029168D">
      <w:pPr>
        <w:pStyle w:val="ConsPlusTitle"/>
        <w:ind w:firstLine="540"/>
        <w:jc w:val="both"/>
        <w:outlineLvl w:val="2"/>
      </w:pPr>
      <w:r>
        <w:t>Принцип 4. Реализация Инвестором корпоративных прав как самостоятельно, так и в сотрудничестве с другими Инвесторами</w:t>
      </w:r>
    </w:p>
    <w:p w:rsidR="0029168D" w:rsidRDefault="0029168D">
      <w:pPr>
        <w:pStyle w:val="ConsPlusNormal"/>
        <w:spacing w:before="220"/>
        <w:ind w:firstLine="540"/>
        <w:jc w:val="both"/>
      </w:pPr>
      <w:r>
        <w:t>4.1. В целях содействия устойчивому развитию Общества и повышению его стоимости Инвестору рекомендуется добросовестно и разумно реализовывать свои права акционера.</w:t>
      </w:r>
    </w:p>
    <w:p w:rsidR="0029168D" w:rsidRDefault="0029168D">
      <w:pPr>
        <w:pStyle w:val="ConsPlusNormal"/>
        <w:spacing w:before="220"/>
        <w:ind w:firstLine="540"/>
        <w:jc w:val="both"/>
      </w:pPr>
      <w:r>
        <w:t>4.2. Инвестору Общества рекомендуется активно реализовывать право на участие в управлении Обществом, в том числе:</w:t>
      </w:r>
    </w:p>
    <w:p w:rsidR="0029168D" w:rsidRDefault="0029168D">
      <w:pPr>
        <w:pStyle w:val="ConsPlusNormal"/>
        <w:spacing w:before="220"/>
        <w:ind w:firstLine="540"/>
        <w:jc w:val="both"/>
      </w:pPr>
      <w:r>
        <w:t>- принимать участие и голосовать на общем собрании акционеров;</w:t>
      </w:r>
    </w:p>
    <w:p w:rsidR="0029168D" w:rsidRDefault="0029168D">
      <w:pPr>
        <w:pStyle w:val="ConsPlusNormal"/>
        <w:spacing w:before="220"/>
        <w:ind w:firstLine="540"/>
        <w:jc w:val="both"/>
      </w:pPr>
      <w:r>
        <w:t>- выдвигать кандидатов в органы управления и контроля Общества (при наличии органов контроля);</w:t>
      </w:r>
    </w:p>
    <w:p w:rsidR="0029168D" w:rsidRDefault="0029168D">
      <w:pPr>
        <w:pStyle w:val="ConsPlusNormal"/>
        <w:spacing w:before="220"/>
        <w:ind w:firstLine="540"/>
        <w:jc w:val="both"/>
      </w:pPr>
      <w:r>
        <w:t>- вносить вопросы в повестку дня собрания акционеров;</w:t>
      </w:r>
    </w:p>
    <w:p w:rsidR="0029168D" w:rsidRDefault="0029168D">
      <w:pPr>
        <w:pStyle w:val="ConsPlusNormal"/>
        <w:spacing w:before="220"/>
        <w:ind w:firstLine="540"/>
        <w:jc w:val="both"/>
      </w:pPr>
      <w:r>
        <w:t>- требовать созыва внеочередного общего собрания акционеров;</w:t>
      </w:r>
    </w:p>
    <w:p w:rsidR="0029168D" w:rsidRDefault="0029168D">
      <w:pPr>
        <w:pStyle w:val="ConsPlusNormal"/>
        <w:spacing w:before="220"/>
        <w:ind w:firstLine="540"/>
        <w:jc w:val="both"/>
      </w:pPr>
      <w:r>
        <w:t>- получать информацию в соответствии с законодательством Российской Федерации.</w:t>
      </w:r>
    </w:p>
    <w:p w:rsidR="0029168D" w:rsidRDefault="0029168D">
      <w:pPr>
        <w:pStyle w:val="ConsPlusNormal"/>
        <w:spacing w:before="220"/>
        <w:ind w:firstLine="540"/>
        <w:jc w:val="both"/>
      </w:pPr>
      <w:r>
        <w:t xml:space="preserve">4.3. Инвестору рекомендуется разработать и при необходимости пересматривать политику по </w:t>
      </w:r>
      <w:r>
        <w:lastRenderedPageBreak/>
        <w:t>голосованию. Инвестору, в том числе при привлечении им лица для голосования по доверенности от Инвестора, рекомендуется обеспечивать соответствие выбранных вариантов голосования по тем или иным вопросам принятой Инвестором политике по голосованию. Инвестору на официальном сайте в сети "Интернет" рекомендуется опубликовать и по мере необходимости обновлять:</w:t>
      </w:r>
    </w:p>
    <w:p w:rsidR="0029168D" w:rsidRDefault="0029168D">
      <w:pPr>
        <w:pStyle w:val="ConsPlusNormal"/>
        <w:spacing w:before="220"/>
        <w:ind w:firstLine="540"/>
        <w:jc w:val="both"/>
      </w:pPr>
      <w:r>
        <w:t>- политику по голосованию &lt;21&gt;;</w:t>
      </w:r>
    </w:p>
    <w:p w:rsidR="0029168D" w:rsidRDefault="0029168D">
      <w:pPr>
        <w:pStyle w:val="ConsPlusNormal"/>
        <w:spacing w:before="220"/>
        <w:ind w:firstLine="540"/>
        <w:jc w:val="both"/>
      </w:pPr>
      <w:r>
        <w:t>--------------------------------</w:t>
      </w:r>
    </w:p>
    <w:p w:rsidR="0029168D" w:rsidRDefault="0029168D">
      <w:pPr>
        <w:pStyle w:val="ConsPlusNormal"/>
        <w:spacing w:before="220"/>
        <w:ind w:firstLine="540"/>
        <w:jc w:val="both"/>
      </w:pPr>
      <w:r>
        <w:t>&lt;21&gt; Единый документ, содержащий подробную информацию о том, как Инвестор голосует по ключевым вопросам, поставленным на голосование в Обществе (например, избрание членов совета директоров, утверждение аудитора, утверждение годового отчета, годовой бухгалтерской (финансовой) отчетности, одобрение сделок, в совершении которых имеется заинтересованность, и иные). Для каждого вида вопросов политика обычно включает критерии, исходя из которых Инвестор голосует "за" или "против" либо воздерживается от голосования.</w:t>
      </w:r>
    </w:p>
    <w:p w:rsidR="0029168D" w:rsidRDefault="0029168D">
      <w:pPr>
        <w:pStyle w:val="ConsPlusNormal"/>
        <w:jc w:val="both"/>
      </w:pPr>
    </w:p>
    <w:p w:rsidR="0029168D" w:rsidRDefault="0029168D">
      <w:pPr>
        <w:pStyle w:val="ConsPlusNormal"/>
        <w:ind w:firstLine="540"/>
        <w:jc w:val="both"/>
      </w:pPr>
      <w:r>
        <w:t>- информацию об итогах голосования Инвестора по каждому вопросу повестки общего собрания акционеров в каждом Обществе;</w:t>
      </w:r>
    </w:p>
    <w:p w:rsidR="0029168D" w:rsidRDefault="0029168D">
      <w:pPr>
        <w:pStyle w:val="ConsPlusNormal"/>
        <w:spacing w:before="220"/>
        <w:ind w:firstLine="540"/>
        <w:jc w:val="both"/>
      </w:pPr>
      <w:r>
        <w:t>- причину, по которой право голоса не было осуществлено Инвестором (в случае неосуществления Инвестором права голоса).</w:t>
      </w:r>
    </w:p>
    <w:p w:rsidR="0029168D" w:rsidRDefault="0029168D">
      <w:pPr>
        <w:pStyle w:val="ConsPlusNormal"/>
        <w:spacing w:before="220"/>
        <w:ind w:firstLine="540"/>
        <w:jc w:val="both"/>
      </w:pPr>
      <w:r>
        <w:t xml:space="preserve">4.4. Одним из ключевых факторов, влияющих на эффективность работы совета директоров, является его структура и состав &lt;22&gt;. Инвестору рекомендуется участвовать в выдвижении кандидатов в совет директоров и голосовать за выдвинутых кандидатов, а также принимать участие в голосовании по вопросу избрания кандидатов в совет директоров Общества, выдвинутых другими Инвесторами (их объединениями). При этом Инвестору рекомендуется добросовестно и разумно оценивать профессиональный опыт, навыки и знания, деловую репутацию кандидатов, в том числе на предмет соответствия их требованиям законодательства Российской Федерации и рекомендациям </w:t>
      </w:r>
      <w:hyperlink r:id="rId26" w:history="1">
        <w:r>
          <w:rPr>
            <w:color w:val="0000FF"/>
          </w:rPr>
          <w:t>Кодекса</w:t>
        </w:r>
      </w:hyperlink>
      <w:r>
        <w:t xml:space="preserve"> корпоративного управления &lt;23&gt;.</w:t>
      </w:r>
    </w:p>
    <w:p w:rsidR="0029168D" w:rsidRDefault="0029168D">
      <w:pPr>
        <w:pStyle w:val="ConsPlusNormal"/>
        <w:spacing w:before="220"/>
        <w:ind w:firstLine="540"/>
        <w:jc w:val="both"/>
      </w:pPr>
      <w:r>
        <w:t>--------------------------------</w:t>
      </w:r>
    </w:p>
    <w:p w:rsidR="0029168D" w:rsidRDefault="0029168D">
      <w:pPr>
        <w:pStyle w:val="ConsPlusNormal"/>
        <w:spacing w:before="220"/>
        <w:ind w:firstLine="540"/>
        <w:jc w:val="both"/>
      </w:pPr>
      <w:r>
        <w:t>&lt;22</w:t>
      </w:r>
      <w:proofErr w:type="gramStart"/>
      <w:r>
        <w:t>&gt; Например</w:t>
      </w:r>
      <w:proofErr w:type="gramEnd"/>
      <w:r>
        <w:t xml:space="preserve">, в соответствии с </w:t>
      </w:r>
      <w:hyperlink r:id="rId27" w:history="1">
        <w:r>
          <w:rPr>
            <w:color w:val="0000FF"/>
          </w:rPr>
          <w:t>принципом 2.4.3</w:t>
        </w:r>
      </w:hyperlink>
      <w:r>
        <w:t xml:space="preserve"> Кодекса корпоративного управления рекомендуется, чтобы независимые директоры составляли не менее одной трети избранного состава совета директоров.</w:t>
      </w:r>
    </w:p>
    <w:p w:rsidR="0029168D" w:rsidRDefault="0029168D">
      <w:pPr>
        <w:pStyle w:val="ConsPlusNormal"/>
        <w:spacing w:before="220"/>
        <w:ind w:firstLine="540"/>
        <w:jc w:val="both"/>
      </w:pPr>
      <w:r>
        <w:t xml:space="preserve">&lt;23&gt; </w:t>
      </w:r>
      <w:hyperlink r:id="rId28" w:history="1">
        <w:r>
          <w:rPr>
            <w:color w:val="0000FF"/>
          </w:rPr>
          <w:t>Принцип 2.3.1</w:t>
        </w:r>
      </w:hyperlink>
      <w:r>
        <w:t xml:space="preserve"> Кодекса корпоративного управления.</w:t>
      </w:r>
    </w:p>
    <w:p w:rsidR="0029168D" w:rsidRDefault="0029168D">
      <w:pPr>
        <w:pStyle w:val="ConsPlusNormal"/>
        <w:jc w:val="both"/>
      </w:pPr>
    </w:p>
    <w:p w:rsidR="0029168D" w:rsidRDefault="0029168D">
      <w:pPr>
        <w:pStyle w:val="ConsPlusNormal"/>
        <w:ind w:firstLine="540"/>
        <w:jc w:val="both"/>
      </w:pPr>
      <w:r>
        <w:t xml:space="preserve">4.5. Реализация Инвестором права вносить вопросы в повестку дня общего собрания акционеров позволяет улучшить организацию корпоративного управления и деятельности Общества, в том числе в части соблюдения рекомендаций </w:t>
      </w:r>
      <w:hyperlink r:id="rId29" w:history="1">
        <w:r>
          <w:rPr>
            <w:color w:val="0000FF"/>
          </w:rPr>
          <w:t>Кодекса</w:t>
        </w:r>
      </w:hyperlink>
      <w:r>
        <w:t xml:space="preserve"> корпоративного управления &lt;24&gt;.</w:t>
      </w:r>
    </w:p>
    <w:p w:rsidR="0029168D" w:rsidRDefault="0029168D">
      <w:pPr>
        <w:pStyle w:val="ConsPlusNormal"/>
        <w:spacing w:before="220"/>
        <w:ind w:firstLine="540"/>
        <w:jc w:val="both"/>
      </w:pPr>
      <w:r>
        <w:t>--------------------------------</w:t>
      </w:r>
    </w:p>
    <w:p w:rsidR="0029168D" w:rsidRDefault="0029168D">
      <w:pPr>
        <w:pStyle w:val="ConsPlusNormal"/>
        <w:spacing w:before="220"/>
        <w:ind w:firstLine="540"/>
        <w:jc w:val="both"/>
      </w:pPr>
      <w:r>
        <w:t>&lt;24</w:t>
      </w:r>
      <w:proofErr w:type="gramStart"/>
      <w:r>
        <w:t>&gt; Например</w:t>
      </w:r>
      <w:proofErr w:type="gramEnd"/>
      <w:r>
        <w:t>, изменение количественного состава совета директоров, внесение изменений в процедуру принятия решений советом директоров, в том числе для обеспечения принятия решений по наиболее важным вопросам деятельности общества квалифицированным большинством членов совета директоров.</w:t>
      </w:r>
    </w:p>
    <w:p w:rsidR="0029168D" w:rsidRDefault="0029168D">
      <w:pPr>
        <w:pStyle w:val="ConsPlusNormal"/>
        <w:jc w:val="both"/>
      </w:pPr>
    </w:p>
    <w:p w:rsidR="0029168D" w:rsidRDefault="0029168D">
      <w:pPr>
        <w:pStyle w:val="ConsPlusNormal"/>
        <w:ind w:firstLine="540"/>
        <w:jc w:val="both"/>
      </w:pPr>
      <w:r>
        <w:t>4.6. Инвестору рекомендуется реализовывать корпоративные права с учетом существенности корпоративных действий для него, выгодоприобретателей и клиентов. Каждое существенное корпоративное действие Инвестору рекомендуется рассматривать по существу, с учетом интересов других заинтересованных сторон и Общества в целом, формировать позицию относительно участия в корпоративном действии и своевременно принимать в нем участие.</w:t>
      </w:r>
    </w:p>
    <w:p w:rsidR="0029168D" w:rsidRDefault="0029168D">
      <w:pPr>
        <w:pStyle w:val="ConsPlusNormal"/>
        <w:spacing w:before="220"/>
        <w:ind w:firstLine="540"/>
        <w:jc w:val="both"/>
      </w:pPr>
      <w:r>
        <w:lastRenderedPageBreak/>
        <w:t>4.7. Определение существенности корпоративного действия Инвестору рекомендуется осуществлять с учетом в том числе следующих факторов:</w:t>
      </w:r>
    </w:p>
    <w:p w:rsidR="0029168D" w:rsidRDefault="0029168D">
      <w:pPr>
        <w:pStyle w:val="ConsPlusNormal"/>
        <w:spacing w:before="220"/>
        <w:ind w:firstLine="540"/>
        <w:jc w:val="both"/>
      </w:pPr>
      <w:r>
        <w:t>- значимости инвестиций в Общество в портфеле Инвестора;</w:t>
      </w:r>
    </w:p>
    <w:p w:rsidR="0029168D" w:rsidRDefault="0029168D">
      <w:pPr>
        <w:pStyle w:val="ConsPlusNormal"/>
        <w:spacing w:before="220"/>
        <w:ind w:firstLine="540"/>
        <w:jc w:val="both"/>
      </w:pPr>
      <w:r>
        <w:t>- возможности влияния Инвестора на результат корпоративного действия;</w:t>
      </w:r>
    </w:p>
    <w:p w:rsidR="0029168D" w:rsidRDefault="0029168D">
      <w:pPr>
        <w:pStyle w:val="ConsPlusNormal"/>
        <w:spacing w:before="220"/>
        <w:ind w:firstLine="540"/>
        <w:jc w:val="both"/>
      </w:pPr>
      <w:r>
        <w:t>- возможности возникновения негативного эффекта от корпоративного действия для прав и интересов Инвестора, его выгодоприобретателей или клиентов;</w:t>
      </w:r>
    </w:p>
    <w:p w:rsidR="0029168D" w:rsidRDefault="0029168D">
      <w:pPr>
        <w:pStyle w:val="ConsPlusNormal"/>
        <w:spacing w:before="220"/>
        <w:ind w:firstLine="540"/>
        <w:jc w:val="both"/>
      </w:pPr>
      <w:r>
        <w:t>- возможности негативного влияния на цели устойчивого развития в целом (например, формирования негативного прецедента в определенной сфере).</w:t>
      </w:r>
    </w:p>
    <w:p w:rsidR="0029168D" w:rsidRDefault="0029168D">
      <w:pPr>
        <w:pStyle w:val="ConsPlusNormal"/>
        <w:spacing w:before="220"/>
        <w:ind w:firstLine="540"/>
        <w:jc w:val="both"/>
      </w:pPr>
      <w:r>
        <w:t>4.8. Сотрудничество Инвестора с другими Инвесторами в рамках корпоративных действий, как правило, делает участие в них более эффективным. В рамках такого сотрудничества Инвесторам рекомендуется соблюдать принципы ответственного инвестирования.</w:t>
      </w:r>
    </w:p>
    <w:p w:rsidR="0029168D" w:rsidRDefault="0029168D">
      <w:pPr>
        <w:pStyle w:val="ConsPlusNormal"/>
        <w:spacing w:before="220"/>
        <w:ind w:firstLine="540"/>
        <w:jc w:val="both"/>
      </w:pPr>
      <w:r>
        <w:t>4.9. Инвестору рекомендуется при возникновении необходимости реализовывать право на судебную защиту своих нарушенных прав и интересов &lt;25&gt;.</w:t>
      </w:r>
    </w:p>
    <w:p w:rsidR="0029168D" w:rsidRDefault="0029168D">
      <w:pPr>
        <w:pStyle w:val="ConsPlusNormal"/>
        <w:spacing w:before="220"/>
        <w:ind w:firstLine="540"/>
        <w:jc w:val="both"/>
      </w:pPr>
      <w:r>
        <w:t>--------------------------------</w:t>
      </w:r>
    </w:p>
    <w:p w:rsidR="0029168D" w:rsidRDefault="0029168D">
      <w:pPr>
        <w:pStyle w:val="ConsPlusNormal"/>
        <w:spacing w:before="220"/>
        <w:ind w:firstLine="540"/>
        <w:jc w:val="both"/>
      </w:pPr>
      <w:r>
        <w:t>&lt;25&gt; Например, инвестор в предусмотренных законодательством Российской Федерации случаях вправе прибегать к таким средствам судебной защиты, как обжалование решений, принятых советом директоров или общим собранием акционеров Общества с нарушением требований законодательства Российской Федерации или устава Общества, предъявление требования о привлечении членов органов управления и контролирующих лиц Общества к ответственности за убытки, причиненные Обществу их виновными действиями (бездействием), предъявление требования о признании крупной сделки или сделки, в совершении которой имеется заинтересованность, недействительной (</w:t>
      </w:r>
      <w:hyperlink r:id="rId30" w:history="1">
        <w:r>
          <w:rPr>
            <w:color w:val="0000FF"/>
          </w:rPr>
          <w:t>статьи 49</w:t>
        </w:r>
      </w:hyperlink>
      <w:r>
        <w:t xml:space="preserve">, </w:t>
      </w:r>
      <w:hyperlink r:id="rId31" w:history="1">
        <w:r>
          <w:rPr>
            <w:color w:val="0000FF"/>
          </w:rPr>
          <w:t>68</w:t>
        </w:r>
      </w:hyperlink>
      <w:r>
        <w:t xml:space="preserve">, </w:t>
      </w:r>
      <w:hyperlink r:id="rId32" w:history="1">
        <w:r>
          <w:rPr>
            <w:color w:val="0000FF"/>
          </w:rPr>
          <w:t>71</w:t>
        </w:r>
      </w:hyperlink>
      <w:r>
        <w:t xml:space="preserve">, </w:t>
      </w:r>
      <w:hyperlink r:id="rId33" w:history="1">
        <w:r>
          <w:rPr>
            <w:color w:val="0000FF"/>
          </w:rPr>
          <w:t>79</w:t>
        </w:r>
      </w:hyperlink>
      <w:r>
        <w:t xml:space="preserve"> Федерального закона от 26.12.1995 N 208-ФЗ "Об акционерных обществах").</w:t>
      </w:r>
    </w:p>
    <w:p w:rsidR="0029168D" w:rsidRDefault="0029168D">
      <w:pPr>
        <w:pStyle w:val="ConsPlusNormal"/>
        <w:jc w:val="both"/>
      </w:pPr>
    </w:p>
    <w:p w:rsidR="0029168D" w:rsidRDefault="0029168D">
      <w:pPr>
        <w:pStyle w:val="ConsPlusNormal"/>
        <w:ind w:firstLine="540"/>
        <w:jc w:val="both"/>
      </w:pPr>
      <w:r>
        <w:t>4.10. Инвестору рекомендуется активно участвовать в развитии и (или) обсуждении регуляторных инициатив, связанных с защитой прав акционеров и инвесторов.</w:t>
      </w:r>
    </w:p>
    <w:p w:rsidR="0029168D" w:rsidRDefault="0029168D">
      <w:pPr>
        <w:pStyle w:val="ConsPlusNormal"/>
        <w:jc w:val="both"/>
      </w:pPr>
    </w:p>
    <w:p w:rsidR="0029168D" w:rsidRDefault="0029168D">
      <w:pPr>
        <w:pStyle w:val="ConsPlusTitle"/>
        <w:ind w:firstLine="540"/>
        <w:jc w:val="both"/>
        <w:outlineLvl w:val="2"/>
      </w:pPr>
      <w:r>
        <w:t>Принцип 5. Регулярное взаимодействие Инвестора с Обществом по значимым аспектам деятельности Общества</w:t>
      </w:r>
    </w:p>
    <w:p w:rsidR="0029168D" w:rsidRDefault="0029168D">
      <w:pPr>
        <w:pStyle w:val="ConsPlusNormal"/>
        <w:spacing w:before="220"/>
        <w:ind w:firstLine="540"/>
        <w:jc w:val="both"/>
      </w:pPr>
      <w:r>
        <w:t>5.1. Помимо реализации корпоративных прав акционера Инвестору рекомендуется активно взаимодействовать с Обществом, а также при необходимости с другими заинтересованными лицами по различным значимым аспектам деятельности Общества, включая:</w:t>
      </w:r>
    </w:p>
    <w:p w:rsidR="0029168D" w:rsidRDefault="0029168D">
      <w:pPr>
        <w:pStyle w:val="ConsPlusNormal"/>
        <w:spacing w:before="220"/>
        <w:ind w:firstLine="540"/>
        <w:jc w:val="both"/>
      </w:pPr>
      <w:r>
        <w:t>- стратегию развития Общества;</w:t>
      </w:r>
    </w:p>
    <w:p w:rsidR="0029168D" w:rsidRDefault="0029168D">
      <w:pPr>
        <w:pStyle w:val="ConsPlusNormal"/>
        <w:spacing w:before="220"/>
        <w:ind w:firstLine="540"/>
        <w:jc w:val="both"/>
      </w:pPr>
      <w:r>
        <w:t>- управление рисками и потенциальными возможностями Общества;</w:t>
      </w:r>
    </w:p>
    <w:p w:rsidR="0029168D" w:rsidRDefault="0029168D">
      <w:pPr>
        <w:pStyle w:val="ConsPlusNormal"/>
        <w:spacing w:before="220"/>
        <w:ind w:firstLine="540"/>
        <w:jc w:val="both"/>
      </w:pPr>
      <w:r>
        <w:t>- вопросы корпоративного управления, корпоративной социальной ответственности, устойчивого развития Общества;</w:t>
      </w:r>
    </w:p>
    <w:p w:rsidR="0029168D" w:rsidRDefault="0029168D">
      <w:pPr>
        <w:pStyle w:val="ConsPlusNormal"/>
        <w:spacing w:before="220"/>
        <w:ind w:firstLine="540"/>
        <w:jc w:val="both"/>
      </w:pPr>
      <w:r>
        <w:t>- практику проведения корпоративных действий;</w:t>
      </w:r>
    </w:p>
    <w:p w:rsidR="0029168D" w:rsidRDefault="0029168D">
      <w:pPr>
        <w:pStyle w:val="ConsPlusNormal"/>
        <w:spacing w:before="220"/>
        <w:ind w:firstLine="540"/>
        <w:jc w:val="both"/>
      </w:pPr>
      <w:r>
        <w:t>- качество раскрываемой информации (объем информации, ее достоверность и актуальность, соответствие требованиям законодательства Российской Федерации, своевременность раскрытия).</w:t>
      </w:r>
    </w:p>
    <w:p w:rsidR="0029168D" w:rsidRDefault="0029168D">
      <w:pPr>
        <w:pStyle w:val="ConsPlusNormal"/>
        <w:spacing w:before="220"/>
        <w:ind w:firstLine="540"/>
        <w:jc w:val="both"/>
      </w:pPr>
      <w:r>
        <w:t xml:space="preserve">5.2. В целях более эффективного взаимодействия с Обществом Инвесторам рекомендуется при необходимости и (или) по их усмотрению объединять свои усилия по обсуждению с Обществом </w:t>
      </w:r>
      <w:r>
        <w:lastRenderedPageBreak/>
        <w:t>вопросов, затрагивающих интересы всех Инвесторов, доведению до Общества консолидированной позиции Инвесторов.</w:t>
      </w:r>
    </w:p>
    <w:p w:rsidR="0029168D" w:rsidRDefault="0029168D">
      <w:pPr>
        <w:pStyle w:val="ConsPlusNormal"/>
        <w:spacing w:before="220"/>
        <w:ind w:firstLine="540"/>
        <w:jc w:val="both"/>
      </w:pPr>
      <w:r>
        <w:t xml:space="preserve">5.3. Инвестору рекомендуется исследовать информацию об интересах иных заинтересованных сторон, </w:t>
      </w:r>
      <w:proofErr w:type="gramStart"/>
      <w:r>
        <w:t>например</w:t>
      </w:r>
      <w:proofErr w:type="gramEnd"/>
      <w:r>
        <w:t xml:space="preserve"> банков, кредиторов, клиентов, поставщиков и общественных организаций, для реализации целей взаимодействия с Обществом.</w:t>
      </w:r>
    </w:p>
    <w:p w:rsidR="0029168D" w:rsidRDefault="0029168D">
      <w:pPr>
        <w:pStyle w:val="ConsPlusNormal"/>
        <w:spacing w:before="220"/>
        <w:ind w:firstLine="540"/>
        <w:jc w:val="both"/>
      </w:pPr>
      <w:r>
        <w:t>5.4. С учетом масштаба и характера своей деятельности Инвестору рекомендуется разработать политику по взаимодействию с Обществами, главной целью которой должно быть обеспечение устойчивого развития Обществ, обеспечение повышения капитализации Обществ в долгосрочной перспективе. Политику по взаимодействию рекомендуется опубликовать на официальном сайте в сети "Интернет". Инвестору рекомендуется раскрывать информацию о реализации политики по взаимодействию на официальном сайте в сети "Интернет" не реже одного раза в год.</w:t>
      </w:r>
    </w:p>
    <w:p w:rsidR="0029168D" w:rsidRDefault="0029168D">
      <w:pPr>
        <w:pStyle w:val="ConsPlusNormal"/>
        <w:spacing w:before="220"/>
        <w:ind w:firstLine="540"/>
        <w:jc w:val="both"/>
      </w:pPr>
      <w:r>
        <w:t>5.5. В политику по взаимодействию Инвестора с Обществами рекомендуется включать следующее:</w:t>
      </w:r>
    </w:p>
    <w:p w:rsidR="0029168D" w:rsidRDefault="0029168D">
      <w:pPr>
        <w:pStyle w:val="ConsPlusNormal"/>
        <w:spacing w:before="220"/>
        <w:ind w:firstLine="540"/>
        <w:jc w:val="both"/>
      </w:pPr>
      <w:r>
        <w:t>- подходы Инвестора к взаимодействию с Обществом;</w:t>
      </w:r>
    </w:p>
    <w:p w:rsidR="0029168D" w:rsidRDefault="0029168D">
      <w:pPr>
        <w:pStyle w:val="ConsPlusNormal"/>
        <w:spacing w:before="220"/>
        <w:ind w:firstLine="540"/>
        <w:jc w:val="both"/>
      </w:pPr>
      <w:r>
        <w:t>- указание того, на какие Общества и случаи распространяется политика по взаимодействию;</w:t>
      </w:r>
    </w:p>
    <w:p w:rsidR="0029168D" w:rsidRDefault="0029168D">
      <w:pPr>
        <w:pStyle w:val="ConsPlusNormal"/>
        <w:spacing w:before="220"/>
        <w:ind w:firstLine="540"/>
        <w:jc w:val="both"/>
      </w:pPr>
      <w:r>
        <w:t>- систему и порядок реализации процедур взаимодействия на уровне Инвестора;</w:t>
      </w:r>
    </w:p>
    <w:p w:rsidR="0029168D" w:rsidRDefault="0029168D">
      <w:pPr>
        <w:pStyle w:val="ConsPlusNormal"/>
        <w:spacing w:before="220"/>
        <w:ind w:firstLine="540"/>
        <w:jc w:val="both"/>
      </w:pPr>
      <w:r>
        <w:t>- ресурсы, привлекаемые для организации взаимодействия;</w:t>
      </w:r>
    </w:p>
    <w:p w:rsidR="0029168D" w:rsidRDefault="0029168D">
      <w:pPr>
        <w:pStyle w:val="ConsPlusNormal"/>
        <w:spacing w:before="220"/>
        <w:ind w:firstLine="540"/>
        <w:jc w:val="both"/>
      </w:pPr>
      <w:r>
        <w:t>- процедуры взаимодействия;</w:t>
      </w:r>
    </w:p>
    <w:p w:rsidR="0029168D" w:rsidRDefault="0029168D">
      <w:pPr>
        <w:pStyle w:val="ConsPlusNormal"/>
        <w:spacing w:before="220"/>
        <w:ind w:firstLine="540"/>
        <w:jc w:val="both"/>
      </w:pPr>
      <w:r>
        <w:t xml:space="preserve">- принципы и процедуры эскалации вопроса (как указано в </w:t>
      </w:r>
      <w:hyperlink w:anchor="P206" w:history="1">
        <w:r>
          <w:rPr>
            <w:color w:val="0000FF"/>
          </w:rPr>
          <w:t>пунктах 5.7</w:t>
        </w:r>
      </w:hyperlink>
      <w:r>
        <w:t xml:space="preserve"> и </w:t>
      </w:r>
      <w:hyperlink w:anchor="P210" w:history="1">
        <w:r>
          <w:rPr>
            <w:color w:val="0000FF"/>
          </w:rPr>
          <w:t>5.8</w:t>
        </w:r>
      </w:hyperlink>
      <w:r>
        <w:t xml:space="preserve"> настоящих Рекомендаций) на случай, если взаимодействие не приносит ожидаемого результата;</w:t>
      </w:r>
    </w:p>
    <w:p w:rsidR="0029168D" w:rsidRDefault="0029168D">
      <w:pPr>
        <w:pStyle w:val="ConsPlusNormal"/>
        <w:spacing w:before="220"/>
        <w:ind w:firstLine="540"/>
        <w:jc w:val="both"/>
      </w:pPr>
      <w:r>
        <w:t>- составление Инвестором на регулярной основе отчетов о взаимодействии и соблюдении политики взаимодействия с Обществами, в том числе в целях их предоставления заинтересованным лицам.</w:t>
      </w:r>
    </w:p>
    <w:p w:rsidR="0029168D" w:rsidRDefault="0029168D">
      <w:pPr>
        <w:pStyle w:val="ConsPlusNormal"/>
        <w:spacing w:before="220"/>
        <w:ind w:firstLine="540"/>
        <w:jc w:val="both"/>
      </w:pPr>
      <w:r>
        <w:t>5.6. В случае необходимости эскалации нерешенного вопроса Инвестору рекомендуется в зависимости от характера вопроса взаимодействовать с сотрудниками Общества, отвечающими за интересующие Инвестора вопросы, руководством Общества, членами совета директоров Общества, контролирующим акционером или в случае его отсутствия крупнейшими акционерами.</w:t>
      </w:r>
    </w:p>
    <w:p w:rsidR="0029168D" w:rsidRDefault="0029168D">
      <w:pPr>
        <w:pStyle w:val="ConsPlusNormal"/>
        <w:spacing w:before="220"/>
        <w:ind w:firstLine="540"/>
        <w:jc w:val="both"/>
      </w:pPr>
      <w:bookmarkStart w:id="7" w:name="P206"/>
      <w:bookmarkEnd w:id="7"/>
      <w:r>
        <w:t>5.7. Взаимодействие Инвестора с Обществом, а также дальнейшая эскалация нерешенных вопросов может осуществляться Инвестором посредством, в том числе:</w:t>
      </w:r>
    </w:p>
    <w:p w:rsidR="0029168D" w:rsidRDefault="0029168D">
      <w:pPr>
        <w:pStyle w:val="ConsPlusNormal"/>
        <w:spacing w:before="220"/>
        <w:ind w:firstLine="540"/>
        <w:jc w:val="both"/>
      </w:pPr>
      <w:r>
        <w:t>- осуществления телефонных звонков, направления писем, в том числе с использованием электронной почты, в адрес членов органов управления Общества с обозначением вопросов, вызывающих озабоченность/заинтересованность;</w:t>
      </w:r>
    </w:p>
    <w:p w:rsidR="0029168D" w:rsidRDefault="0029168D">
      <w:pPr>
        <w:pStyle w:val="ConsPlusNormal"/>
        <w:spacing w:before="220"/>
        <w:ind w:firstLine="540"/>
        <w:jc w:val="both"/>
      </w:pPr>
      <w:r>
        <w:t>- проведения встреч с членами органов управления Общества, с другими заинтересованными сторонами, в том числе с банками, кредиторами, клиентами, контрагентами Общества и общественными организациями, в том числе совместно с другими Инвесторами и акционерами;</w:t>
      </w:r>
    </w:p>
    <w:p w:rsidR="0029168D" w:rsidRDefault="0029168D">
      <w:pPr>
        <w:pStyle w:val="ConsPlusNormal"/>
        <w:spacing w:before="220"/>
        <w:ind w:firstLine="540"/>
        <w:jc w:val="both"/>
      </w:pPr>
      <w:r>
        <w:t>- реализации корпоративных прав или принятия определенных инвестиционных решений (в том числе реализации объекта инвестиции в качестве крайней меры эскалации).</w:t>
      </w:r>
    </w:p>
    <w:p w:rsidR="0029168D" w:rsidRDefault="0029168D">
      <w:pPr>
        <w:pStyle w:val="ConsPlusNormal"/>
        <w:spacing w:before="220"/>
        <w:ind w:firstLine="540"/>
        <w:jc w:val="both"/>
      </w:pPr>
      <w:bookmarkStart w:id="8" w:name="P210"/>
      <w:bookmarkEnd w:id="8"/>
      <w:r>
        <w:t xml:space="preserve">5.8. В случае обсуждения вопросов (вне формата общего собрания акционеров) между Обществом и Инвестором Инвестору рекомендуется по требованию Общества предоставлять сведения о размере доли его участия в уставном капитале Общества и (или) размере вложенных </w:t>
      </w:r>
      <w:r>
        <w:lastRenderedPageBreak/>
        <w:t>им в Общество инвестиций.</w:t>
      </w:r>
    </w:p>
    <w:p w:rsidR="0029168D" w:rsidRDefault="0029168D">
      <w:pPr>
        <w:pStyle w:val="ConsPlusNormal"/>
        <w:spacing w:before="220"/>
        <w:ind w:firstLine="540"/>
        <w:jc w:val="both"/>
      </w:pPr>
      <w:r>
        <w:t>5.9. При неэффективности непосредственного взаимодействия с Обществом Инвестору рекомендуется обеспечить объединение усилий с другими Инвесторами в целях улучшения процесса взаимодействия с Обществом.</w:t>
      </w:r>
    </w:p>
    <w:p w:rsidR="0029168D" w:rsidRDefault="0029168D">
      <w:pPr>
        <w:pStyle w:val="ConsPlusNormal"/>
        <w:spacing w:before="220"/>
        <w:ind w:firstLine="540"/>
        <w:jc w:val="both"/>
      </w:pPr>
      <w:r>
        <w:t>5.10. В случае вложения средств в паевые инвестиционные фонды Инвестору рекомендуется убедиться, что взаимодействие управляющих компаний паевых инвестиционных фондов с хозяйственными обществами, в которые инвестированы средства паевого инвестиционного фонда, не противоречит принятой Инвестором политике по взаимодействию с Обществами.</w:t>
      </w:r>
    </w:p>
    <w:p w:rsidR="0029168D" w:rsidRDefault="0029168D">
      <w:pPr>
        <w:pStyle w:val="ConsPlusNormal"/>
        <w:jc w:val="both"/>
      </w:pPr>
    </w:p>
    <w:p w:rsidR="0029168D" w:rsidRDefault="0029168D">
      <w:pPr>
        <w:pStyle w:val="ConsPlusTitle"/>
        <w:ind w:firstLine="540"/>
        <w:jc w:val="both"/>
        <w:outlineLvl w:val="2"/>
      </w:pPr>
      <w:r>
        <w:t>Принцип 6. Управление Инвестором конфликтом интересов в своей деятельности</w:t>
      </w:r>
    </w:p>
    <w:p w:rsidR="0029168D" w:rsidRDefault="0029168D">
      <w:pPr>
        <w:pStyle w:val="ConsPlusNormal"/>
        <w:spacing w:before="220"/>
        <w:ind w:firstLine="540"/>
        <w:jc w:val="both"/>
      </w:pPr>
      <w:r>
        <w:t>6.1. Инвестору рекомендуется предотвращать, выявлять конфликты интересов, возникающие в ходе осуществления им своих корпоративных прав, мониторинга значимых аспектов деятельности Общества и взаимодействия с Обществом, а также управлять им с соблюдением требований, установленных законодательством &lt;26&gt; в области выявления, предотвращения конфликта интересов, а также управления им. Инвестору рекомендуется раскрывать на официальном сайте в сети "Интернет" сведения о возникшем конфликте интересов или о ситуации, влекущей риск возникновения конфликта интересов в своей деятельности.</w:t>
      </w:r>
    </w:p>
    <w:p w:rsidR="0029168D" w:rsidRDefault="0029168D">
      <w:pPr>
        <w:pStyle w:val="ConsPlusNormal"/>
        <w:spacing w:before="220"/>
        <w:ind w:firstLine="540"/>
        <w:jc w:val="both"/>
      </w:pPr>
      <w:r>
        <w:t>--------------------------------</w:t>
      </w:r>
    </w:p>
    <w:p w:rsidR="0029168D" w:rsidRDefault="0029168D">
      <w:pPr>
        <w:pStyle w:val="ConsPlusNormal"/>
        <w:spacing w:before="220"/>
        <w:ind w:firstLine="540"/>
        <w:jc w:val="both"/>
      </w:pPr>
      <w:r>
        <w:t xml:space="preserve">&lt;26&gt; См., например, </w:t>
      </w:r>
      <w:hyperlink r:id="rId34" w:history="1">
        <w:r>
          <w:rPr>
            <w:color w:val="0000FF"/>
          </w:rPr>
          <w:t>п. 3.3</w:t>
        </w:r>
      </w:hyperlink>
      <w:r>
        <w:t xml:space="preserve"> Главы 6 Положения Банка России от 03.08.2015 N 482-П "О единых требованиях к правилам осуществления деятельности по управлению ценными бумагами, к порядку раскрытия управляющим информации, а также требованиях, направленных на исключение конфликта интересов управляющего", </w:t>
      </w:r>
      <w:hyperlink r:id="rId35" w:history="1">
        <w:r>
          <w:rPr>
            <w:color w:val="0000FF"/>
          </w:rPr>
          <w:t>п. 3</w:t>
        </w:r>
      </w:hyperlink>
      <w:r>
        <w:t xml:space="preserve"> Постановления ФКЦБ Российской Федерации от 05.11.1998 N 44 "О предотвращении конфликта интересов при осуществлении профессиональной деятельности на рынке ценных бумаг", </w:t>
      </w:r>
      <w:hyperlink r:id="rId36" w:history="1">
        <w:r>
          <w:rPr>
            <w:color w:val="0000FF"/>
          </w:rPr>
          <w:t>п. 1.5</w:t>
        </w:r>
      </w:hyperlink>
      <w:r>
        <w:t xml:space="preserve"> Указания Банка России от 04.07.2016 N 4060-У "О требованиях к организации системы управления рисками негосударственного пенсионного фонда", </w:t>
      </w:r>
      <w:hyperlink r:id="rId37" w:history="1">
        <w:r>
          <w:rPr>
            <w:color w:val="0000FF"/>
          </w:rPr>
          <w:t>Главы III</w:t>
        </w:r>
      </w:hyperlink>
      <w:r>
        <w:t xml:space="preserve">, </w:t>
      </w:r>
      <w:hyperlink r:id="rId38" w:history="1">
        <w:r>
          <w:rPr>
            <w:color w:val="0000FF"/>
          </w:rPr>
          <w:t>IV</w:t>
        </w:r>
      </w:hyperlink>
      <w:r>
        <w:t xml:space="preserve"> Типового Кодекса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утвержденного Постановлением Правительства Российской Федерации от 12.12.2004 N 770.</w:t>
      </w:r>
    </w:p>
    <w:p w:rsidR="0029168D" w:rsidRDefault="0029168D">
      <w:pPr>
        <w:pStyle w:val="ConsPlusNormal"/>
        <w:jc w:val="both"/>
      </w:pPr>
    </w:p>
    <w:p w:rsidR="0029168D" w:rsidRDefault="0029168D">
      <w:pPr>
        <w:pStyle w:val="ConsPlusNormal"/>
        <w:ind w:firstLine="540"/>
        <w:jc w:val="both"/>
      </w:pPr>
      <w:r>
        <w:t>6.2. Рекомендуется обращать внимание на следующие обстоятельства, при которых может возникнуть конфликт интересов, в том числе, но не ограничиваясь:</w:t>
      </w:r>
    </w:p>
    <w:p w:rsidR="0029168D" w:rsidRDefault="0029168D">
      <w:pPr>
        <w:pStyle w:val="ConsPlusNormal"/>
        <w:spacing w:before="220"/>
        <w:ind w:firstLine="540"/>
        <w:jc w:val="both"/>
      </w:pPr>
      <w:r>
        <w:t>- предложение Инвестором Обществу консультационных или финансовых услуг, финансовых инструментов;</w:t>
      </w:r>
    </w:p>
    <w:p w:rsidR="0029168D" w:rsidRDefault="0029168D">
      <w:pPr>
        <w:pStyle w:val="ConsPlusNormal"/>
        <w:spacing w:before="220"/>
        <w:ind w:firstLine="540"/>
        <w:jc w:val="both"/>
      </w:pPr>
      <w:r>
        <w:t>- вхождение членов органов управления Инвестора в состав органов управления Общества;</w:t>
      </w:r>
    </w:p>
    <w:p w:rsidR="0029168D" w:rsidRDefault="0029168D">
      <w:pPr>
        <w:pStyle w:val="ConsPlusNormal"/>
        <w:spacing w:before="220"/>
        <w:ind w:firstLine="540"/>
        <w:jc w:val="both"/>
      </w:pPr>
      <w:r>
        <w:t>- наличие деловых или семейных связей между членами органов управления Инвестора и членами органов управления Общества;</w:t>
      </w:r>
    </w:p>
    <w:p w:rsidR="0029168D" w:rsidRDefault="0029168D">
      <w:pPr>
        <w:pStyle w:val="ConsPlusNormal"/>
        <w:spacing w:before="220"/>
        <w:ind w:firstLine="540"/>
        <w:jc w:val="both"/>
      </w:pPr>
      <w:r>
        <w:t>- инвестирование средств в Общества, которые в соответствии с Международными стандартами финансовой отчетности определяются как группа.</w:t>
      </w:r>
    </w:p>
    <w:p w:rsidR="0029168D" w:rsidRDefault="0029168D">
      <w:pPr>
        <w:pStyle w:val="ConsPlusNormal"/>
        <w:spacing w:before="220"/>
        <w:ind w:firstLine="540"/>
        <w:jc w:val="both"/>
      </w:pPr>
      <w:r>
        <w:t>6.3. Инвестору рекомендуется разработать политику по управлению конфликтом интересов и опубликовать ее на официальном сайте в сети "Интернет".</w:t>
      </w:r>
    </w:p>
    <w:p w:rsidR="0029168D" w:rsidRDefault="0029168D">
      <w:pPr>
        <w:pStyle w:val="ConsPlusNormal"/>
        <w:spacing w:before="220"/>
        <w:ind w:firstLine="540"/>
        <w:jc w:val="both"/>
      </w:pPr>
      <w:r>
        <w:t>6.4. Инвестору рекомендуется предусмотреть правила и процедуры, обеспечивающие в рамках его деятельности учет интересов всех его клиентов.</w:t>
      </w:r>
    </w:p>
    <w:p w:rsidR="0029168D" w:rsidRDefault="0029168D">
      <w:pPr>
        <w:pStyle w:val="ConsPlusNormal"/>
        <w:jc w:val="both"/>
      </w:pPr>
    </w:p>
    <w:p w:rsidR="0029168D" w:rsidRDefault="0029168D">
      <w:pPr>
        <w:pStyle w:val="ConsPlusTitle"/>
        <w:ind w:firstLine="540"/>
        <w:jc w:val="both"/>
        <w:outlineLvl w:val="2"/>
      </w:pPr>
      <w:r>
        <w:t xml:space="preserve">Принцип 7. Учет факторов устойчивого развития при выборе и организации Инвестором </w:t>
      </w:r>
      <w:r>
        <w:lastRenderedPageBreak/>
        <w:t>взаимодействия с доверительными управляющими (в случае их наличия)</w:t>
      </w:r>
    </w:p>
    <w:p w:rsidR="0029168D" w:rsidRDefault="0029168D">
      <w:pPr>
        <w:pStyle w:val="ConsPlusNormal"/>
        <w:spacing w:before="220"/>
        <w:ind w:firstLine="540"/>
        <w:jc w:val="both"/>
      </w:pPr>
      <w:r>
        <w:t>7.1. При выборе доверительного управляющего институциональному инвестору рекомендуется оценить принятые доверительным управляющим подходы к осуществлению ответственного инвестирования, включая наличие соответствующих процедур и политик. Институциональному инвестору рекомендуется оценить возможности доверительного управляющего проводить анализ факторов устойчивого развития.</w:t>
      </w:r>
    </w:p>
    <w:p w:rsidR="0029168D" w:rsidRDefault="0029168D">
      <w:pPr>
        <w:pStyle w:val="ConsPlusNormal"/>
        <w:spacing w:before="220"/>
        <w:ind w:firstLine="540"/>
        <w:jc w:val="both"/>
      </w:pPr>
      <w:r>
        <w:t>7.2. Институциональному инвестору, который передает активы в доверительное управление, рекомендуется разработать политику по выбору и контролю деятельности доверительных управляющих, основанную на положениях настоящих Рекомендаций, и пересматривать ее не реже одного раза в год. Такую политику и отчеты о ее выполнении рекомендуется публиковать на официальном сайте институционального инвестора в сети "Интернет".</w:t>
      </w:r>
    </w:p>
    <w:p w:rsidR="0029168D" w:rsidRDefault="0029168D">
      <w:pPr>
        <w:pStyle w:val="ConsPlusNormal"/>
        <w:spacing w:before="220"/>
        <w:ind w:firstLine="540"/>
        <w:jc w:val="both"/>
      </w:pPr>
      <w:r>
        <w:t>7.3. Институциональному инвестору, передавшему активы в доверительное управление, рекомендуется предусмотреть правила и процедуры, обеспечивающие контроль за работой доверительного управляющего, в частности за соответствием деятельности доверительных управляющих инвестиционной стратегии доверительного управляющего, подходам к ответственному инвестированию доверительного управляющего, политике по взаимодействию институционального инвестора с Обществом (при ее наличии).</w:t>
      </w:r>
    </w:p>
    <w:p w:rsidR="0029168D" w:rsidRDefault="0029168D">
      <w:pPr>
        <w:pStyle w:val="ConsPlusNormal"/>
        <w:spacing w:before="220"/>
        <w:ind w:firstLine="540"/>
        <w:jc w:val="both"/>
      </w:pPr>
      <w:r>
        <w:t>7.4. Институциональному инвестору рекомендуется определить подходы к определению вознаграждения доверительного управляющего за услуги по доверительному управлению и иные посреднические услуги, обеспечивающие надлежащее оказание доверительным управляющим услуг с учетом настоящих Рекомендаций.</w:t>
      </w:r>
    </w:p>
    <w:p w:rsidR="0029168D" w:rsidRDefault="0029168D">
      <w:pPr>
        <w:pStyle w:val="ConsPlusNormal"/>
        <w:jc w:val="both"/>
      </w:pPr>
    </w:p>
    <w:p w:rsidR="0029168D" w:rsidRDefault="0029168D">
      <w:pPr>
        <w:pStyle w:val="ConsPlusNormal"/>
        <w:jc w:val="both"/>
      </w:pPr>
    </w:p>
    <w:p w:rsidR="0029168D" w:rsidRDefault="0029168D">
      <w:pPr>
        <w:pStyle w:val="ConsPlusNormal"/>
        <w:pBdr>
          <w:top w:val="single" w:sz="6" w:space="0" w:color="auto"/>
        </w:pBdr>
        <w:spacing w:before="100" w:after="100"/>
        <w:jc w:val="both"/>
        <w:rPr>
          <w:sz w:val="2"/>
          <w:szCs w:val="2"/>
        </w:rPr>
      </w:pPr>
    </w:p>
    <w:p w:rsidR="00D850DC" w:rsidRDefault="00D850DC">
      <w:bookmarkStart w:id="9" w:name="_GoBack"/>
      <w:bookmarkEnd w:id="9"/>
    </w:p>
    <w:sectPr w:rsidR="00D850DC" w:rsidSect="00D924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68D"/>
    <w:rsid w:val="000B5443"/>
    <w:rsid w:val="0029168D"/>
    <w:rsid w:val="00D85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90A487-71E2-4D83-A796-3E688FFF0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9168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9168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9168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0160B97947B82064424E3C04E85902D486D9D0882945B5C69DF8C168BFFA39A1E05FB9E843FFB957323C7287E5E5B19FD2927A0F07F187bFL6K" TargetMode="External"/><Relationship Id="rId13" Type="http://schemas.openxmlformats.org/officeDocument/2006/relationships/hyperlink" Target="consultantplus://offline/ref=170160B97947B82064424E3C04E85902D485DAD4892C45B5C69DF8C168BFFA39B3E007B5EA46E5BE54276A23C1bBL1K" TargetMode="External"/><Relationship Id="rId18" Type="http://schemas.openxmlformats.org/officeDocument/2006/relationships/hyperlink" Target="consultantplus://offline/ref=170160B97947B82064424E3C04E85902D486D9D0882945B5C69DF8C168BFFA39A1E05FB9E843FBBE55323C7287E5E5B19FD2927A0F07F187bFL6K" TargetMode="External"/><Relationship Id="rId26" Type="http://schemas.openxmlformats.org/officeDocument/2006/relationships/hyperlink" Target="consultantplus://offline/ref=170160B97947B82064424E3C04E85902D486D9D0882945B5C69DF8C168BFFA39A1E05FB9E843FBBE55323C7287E5E5B19FD2927A0F07F187bFL6K"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170160B97947B82064424B3307E85902D486D9D9812518BFCEC4F4C36FB0A53CA6F15FBAED5DFABE4B3B6821bCL2K" TargetMode="External"/><Relationship Id="rId34" Type="http://schemas.openxmlformats.org/officeDocument/2006/relationships/hyperlink" Target="consultantplus://offline/ref=170160B97947B82064424E3C04E85902D489DBD38D2B45B5C69DF8C168BFFA39A1E05FB9E843FBBC50323C7287E5E5B19FD2927A0F07F187bFL6K" TargetMode="External"/><Relationship Id="rId7" Type="http://schemas.openxmlformats.org/officeDocument/2006/relationships/hyperlink" Target="consultantplus://offline/ref=170160B97947B82064424E3C04E85902D688D9D78A2B45B5C69DF8C168BFFA39A1E05FB9E843FFB756323C7287E5E5B19FD2927A0F07F187bFL6K" TargetMode="External"/><Relationship Id="rId12" Type="http://schemas.openxmlformats.org/officeDocument/2006/relationships/hyperlink" Target="consultantplus://offline/ref=170160B97947B82064424E3C04E85902D685D8D18A2B45B5C69DF8C168BFFA39B3E007B5EA46E5BE54276A23C1bBL1K" TargetMode="External"/><Relationship Id="rId17" Type="http://schemas.openxmlformats.org/officeDocument/2006/relationships/hyperlink" Target="consultantplus://offline/ref=170160B97947B82064424E3C04E85902D486D9D0882945B5C69DF8C168BFFA39A1E05FB9E843FBBE55323C7287E5E5B19FD2927A0F07F187bFL6K" TargetMode="External"/><Relationship Id="rId25" Type="http://schemas.openxmlformats.org/officeDocument/2006/relationships/hyperlink" Target="consultantplus://offline/ref=170160B97947B82064424E3C04E85902D482DBD78E2E45B5C69DF8C168BFFA39B3E007B5EA46E5BE54276A23C1bBL1K" TargetMode="External"/><Relationship Id="rId33" Type="http://schemas.openxmlformats.org/officeDocument/2006/relationships/hyperlink" Target="consultantplus://offline/ref=170160B97947B82064424E3C04E85902D688D2D88F2E45B5C69DF8C168BFFA39A1E05FBDEF43F0EB047D3D2EC1B5F6B29BD2917B13b0L4K" TargetMode="External"/><Relationship Id="rId38" Type="http://schemas.openxmlformats.org/officeDocument/2006/relationships/hyperlink" Target="consultantplus://offline/ref=170160B97947B82064424E3C04E85902D080DCD08C2518BFCEC4F4C36FB0A52EA6A953B8E843FDBF5E6D396796BDEAB684CD92651305F3b8L4K" TargetMode="External"/><Relationship Id="rId2" Type="http://schemas.openxmlformats.org/officeDocument/2006/relationships/settings" Target="settings.xml"/><Relationship Id="rId16" Type="http://schemas.openxmlformats.org/officeDocument/2006/relationships/hyperlink" Target="consultantplus://offline/ref=170160B97947B82064424E3C04E85902D688DBD2802645B5C69DF8C168BFFA39B3E007B5EA46E5BE54276A23C1bBL1K" TargetMode="External"/><Relationship Id="rId20" Type="http://schemas.openxmlformats.org/officeDocument/2006/relationships/hyperlink" Target="consultantplus://offline/ref=170160B97947B82064424E3C04E85902D482DBD8882B45B5C69DF8C168BFFA39B3E007B5EA46E5BE54276A23C1bBL1K" TargetMode="External"/><Relationship Id="rId29" Type="http://schemas.openxmlformats.org/officeDocument/2006/relationships/hyperlink" Target="consultantplus://offline/ref=170160B97947B82064424E3C04E85902D486D9D0882945B5C69DF8C168BFFA39A1E05FB9E843FBBE55323C7287E5E5B19FD2927A0F07F187bFL6K" TargetMode="External"/><Relationship Id="rId1" Type="http://schemas.openxmlformats.org/officeDocument/2006/relationships/styles" Target="styles.xml"/><Relationship Id="rId6" Type="http://schemas.openxmlformats.org/officeDocument/2006/relationships/hyperlink" Target="consultantplus://offline/ref=170160B97947B82064424E3C04E85902D688DCD58A2645B5C69DF8C168BFFA39B3E007B5EA46E5BE54276A23C1bBL1K" TargetMode="External"/><Relationship Id="rId11" Type="http://schemas.openxmlformats.org/officeDocument/2006/relationships/hyperlink" Target="consultantplus://offline/ref=170160B97947B82064424E3C04E85902D688D9D78A2B45B5C69DF8C168BFFA39A1E05FB9E842FABD55323C7287E5E5B19FD2927A0F07F187bFL6K" TargetMode="External"/><Relationship Id="rId24" Type="http://schemas.openxmlformats.org/officeDocument/2006/relationships/hyperlink" Target="consultantplus://offline/ref=170160B97947B82064424E3C04E85902D482DAD0802745B5C69DF8C168BFFA39B3E007B5EA46E5BE54276A23C1bBL1K" TargetMode="External"/><Relationship Id="rId32" Type="http://schemas.openxmlformats.org/officeDocument/2006/relationships/hyperlink" Target="consultantplus://offline/ref=170160B97947B82064424E3C04E85902D688D2D88F2E45B5C69DF8C168BFFA39A1E05FB9E843FDBC55323C7287E5E5B19FD2927A0F07F187bFL6K" TargetMode="External"/><Relationship Id="rId37" Type="http://schemas.openxmlformats.org/officeDocument/2006/relationships/hyperlink" Target="consultantplus://offline/ref=170160B97947B82064424E3C04E85902D080DCD08C2518BFCEC4F4C36FB0A52EA6A953B8E843FFB65E6D396796BDEAB684CD92651305F3b8L4K" TargetMode="External"/><Relationship Id="rId40" Type="http://schemas.openxmlformats.org/officeDocument/2006/relationships/theme" Target="theme/theme1.xml"/><Relationship Id="rId5" Type="http://schemas.openxmlformats.org/officeDocument/2006/relationships/hyperlink" Target="consultantplus://offline/ref=170160B97947B82064424E3C04E85902D688DCD58B2845B5C69DF8C168BFFA39A1E05FB9E843FBBA55323C7287E5E5B19FD2927A0F07F187bFL6K" TargetMode="External"/><Relationship Id="rId15" Type="http://schemas.openxmlformats.org/officeDocument/2006/relationships/hyperlink" Target="consultantplus://offline/ref=170160B97947B82064424E3C04E85902D680D3D48B2E45B5C69DF8C168BFFA39B3E007B5EA46E5BE54276A23C1bBL1K" TargetMode="External"/><Relationship Id="rId23" Type="http://schemas.openxmlformats.org/officeDocument/2006/relationships/hyperlink" Target="consultantplus://offline/ref=170160B97947B82064424E3C04E85902D482DAD0802645B5C69DF8C168BFFA39B3E007B5EA46E5BE54276A23C1bBL1K" TargetMode="External"/><Relationship Id="rId28" Type="http://schemas.openxmlformats.org/officeDocument/2006/relationships/hyperlink" Target="consultantplus://offline/ref=170160B97947B82064424E3C04E85902D486D9D0882945B5C69DF8C168BFFA39A1E05FB9E843FBB75C323C7287E5E5B19FD2927A0F07F187bFL6K" TargetMode="External"/><Relationship Id="rId36" Type="http://schemas.openxmlformats.org/officeDocument/2006/relationships/hyperlink" Target="consultantplus://offline/ref=170160B97947B82064424E3C04E85902D681D2D18D2845B5C69DF8C168BFFA39A1E05FB9E843FBBE53323C7287E5E5B19FD2927A0F07F187bFL6K" TargetMode="External"/><Relationship Id="rId10" Type="http://schemas.openxmlformats.org/officeDocument/2006/relationships/hyperlink" Target="consultantplus://offline/ref=170160B97947B82064424E3C04E85902D688D9D78A2B45B5C69DF8C168BFFA39A1E05FB9E843FFB653323C7287E5E5B19FD2927A0F07F187bFL6K" TargetMode="External"/><Relationship Id="rId19" Type="http://schemas.openxmlformats.org/officeDocument/2006/relationships/hyperlink" Target="consultantplus://offline/ref=170160B97947B82064424E3C04E85902D486D9D0882945B5C69DF8C168BFFA39A1E05FB9E843FBBE55323C7287E5E5B19FD2927A0F07F187bFL6K" TargetMode="External"/><Relationship Id="rId31" Type="http://schemas.openxmlformats.org/officeDocument/2006/relationships/hyperlink" Target="consultantplus://offline/ref=170160B97947B82064424E3C04E85902D688D2D88F2E45B5C69DF8C168BFFA39A1E05FB9E843FEB657323C7287E5E5B19FD2927A0F07F187bFL6K"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170160B97947B82064424E3C04E85902D688D9D78A2B45B5C69DF8C168BFFA39A1E05FB9EB40F9B401682C76CEB2EDAD9BCD8D791107bFL0K" TargetMode="External"/><Relationship Id="rId14" Type="http://schemas.openxmlformats.org/officeDocument/2006/relationships/hyperlink" Target="consultantplus://offline/ref=170160B97947B82064424E3C04E85902D788D2D48E2745B5C69DF8C168BFFA39B3E007B5EA46E5BE54276A23C1bBL1K" TargetMode="External"/><Relationship Id="rId22" Type="http://schemas.openxmlformats.org/officeDocument/2006/relationships/hyperlink" Target="consultantplus://offline/ref=170160B97947B82064424E3C04E85902D781D8D18E2518BFCEC4F4C36FB0A53CA6F15FBAED5DFABE4B3B6821bCL2K" TargetMode="External"/><Relationship Id="rId27" Type="http://schemas.openxmlformats.org/officeDocument/2006/relationships/hyperlink" Target="consultantplus://offline/ref=170160B97947B82064424E3C04E85902D486D9D0882945B5C69DF8C168BFFA39A1E05FB9E843FBB653323C7287E5E5B19FD2927A0F07F187bFL6K" TargetMode="External"/><Relationship Id="rId30" Type="http://schemas.openxmlformats.org/officeDocument/2006/relationships/hyperlink" Target="consultantplus://offline/ref=170160B97947B82064424E3C04E85902D688D2D88F2E45B5C69DF8C168BFFA39A1E05FB9E843FFBF55323C7287E5E5B19FD2927A0F07F187bFL6K" TargetMode="External"/><Relationship Id="rId35" Type="http://schemas.openxmlformats.org/officeDocument/2006/relationships/hyperlink" Target="consultantplus://offline/ref=170160B97947B82064424E3C04E85902D781DBD88F2518BFCEC4F4C36FB0A52EA6A953B8E843FBB85E6D396796BDEAB684CD92651305F3b8L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7653</Words>
  <Characters>43623</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Сироткина</dc:creator>
  <cp:keywords/>
  <dc:description/>
  <cp:lastModifiedBy>Марина Сироткина</cp:lastModifiedBy>
  <cp:revision>2</cp:revision>
  <dcterms:created xsi:type="dcterms:W3CDTF">2021-11-25T10:13:00Z</dcterms:created>
  <dcterms:modified xsi:type="dcterms:W3CDTF">2021-11-25T10:13:00Z</dcterms:modified>
</cp:coreProperties>
</file>