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5" w:rsidRPr="00081FE5" w:rsidRDefault="00361E65" w:rsidP="006741F0">
      <w:pPr>
        <w:jc w:val="center"/>
        <w:outlineLvl w:val="0"/>
        <w:rPr>
          <w:rFonts w:ascii="Century Gothic" w:hAnsi="Century Gothic"/>
          <w:b/>
          <w:sz w:val="32"/>
          <w:szCs w:val="24"/>
        </w:rPr>
      </w:pPr>
      <w:bookmarkStart w:id="0" w:name="_GoBack"/>
      <w:bookmarkEnd w:id="0"/>
      <w:r w:rsidRPr="00081FE5">
        <w:rPr>
          <w:rFonts w:ascii="Century Gothic" w:hAnsi="Century Gothic"/>
          <w:b/>
          <w:sz w:val="32"/>
          <w:szCs w:val="24"/>
        </w:rPr>
        <w:t>ИНФОРМАЦИОННОЕ ПИСЬМО</w:t>
      </w:r>
    </w:p>
    <w:p w:rsidR="00CD008F" w:rsidRPr="00361E65" w:rsidRDefault="00361E65" w:rsidP="00361E65">
      <w:pPr>
        <w:jc w:val="center"/>
        <w:rPr>
          <w:rFonts w:ascii="Century Gothic" w:hAnsi="Century Gothic"/>
        </w:rPr>
      </w:pPr>
      <w:r w:rsidRPr="00361E65">
        <w:rPr>
          <w:rFonts w:ascii="Century Gothic" w:hAnsi="Century Gothic"/>
        </w:rPr>
        <w:t>«О</w:t>
      </w:r>
      <w:r w:rsidR="00350448" w:rsidRPr="00361E65">
        <w:rPr>
          <w:rFonts w:ascii="Century Gothic" w:hAnsi="Century Gothic"/>
        </w:rPr>
        <w:t xml:space="preserve"> порядке определения </w:t>
      </w:r>
      <w:r w:rsidR="003D4E85">
        <w:rPr>
          <w:rFonts w:ascii="Century Gothic" w:hAnsi="Century Gothic"/>
        </w:rPr>
        <w:t xml:space="preserve">и распределения </w:t>
      </w:r>
      <w:r w:rsidR="00350448" w:rsidRPr="00361E65">
        <w:rPr>
          <w:rFonts w:ascii="Century Gothic" w:hAnsi="Century Gothic"/>
        </w:rPr>
        <w:t xml:space="preserve">результатов инвестирования средств пенсионных накоплений, расчета постоянной и переменной части вознаграждения </w:t>
      </w:r>
      <w:r w:rsidRPr="00361E65">
        <w:rPr>
          <w:rFonts w:ascii="Century Gothic" w:hAnsi="Century Gothic"/>
        </w:rPr>
        <w:t>за управление средствами пенсионных накоплений и применении отдельных Указаний Банка России»</w:t>
      </w:r>
    </w:p>
    <w:p w:rsidR="00361E65" w:rsidRDefault="00361E65" w:rsidP="00361E65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В целях обеспечения единого подхода к применению требований </w:t>
      </w:r>
      <w:r w:rsidR="003D4E85">
        <w:rPr>
          <w:rFonts w:ascii="Century Gothic" w:hAnsi="Century Gothic"/>
          <w:sz w:val="20"/>
        </w:rPr>
        <w:t>п.</w:t>
      </w:r>
      <w:r w:rsidR="006741F0">
        <w:rPr>
          <w:rFonts w:ascii="Century Gothic" w:hAnsi="Century Gothic"/>
          <w:sz w:val="20"/>
        </w:rPr>
        <w:t> </w:t>
      </w:r>
      <w:r w:rsidR="003D4E85">
        <w:rPr>
          <w:rFonts w:ascii="Century Gothic" w:hAnsi="Century Gothic"/>
          <w:sz w:val="20"/>
        </w:rPr>
        <w:t xml:space="preserve">36.23 Федерального закона </w:t>
      </w:r>
      <w:r w:rsidR="006741F0">
        <w:rPr>
          <w:rFonts w:ascii="Century Gothic" w:hAnsi="Century Gothic"/>
          <w:sz w:val="20"/>
        </w:rPr>
        <w:t>№ </w:t>
      </w:r>
      <w:r w:rsidR="003D4E85">
        <w:rPr>
          <w:rFonts w:ascii="Century Gothic" w:hAnsi="Century Gothic"/>
          <w:sz w:val="20"/>
        </w:rPr>
        <w:t>75-ФЗ</w:t>
      </w:r>
      <w:r w:rsidR="006741F0">
        <w:rPr>
          <w:rFonts w:ascii="Century Gothic" w:hAnsi="Century Gothic"/>
          <w:sz w:val="20"/>
        </w:rPr>
        <w:t xml:space="preserve"> «</w:t>
      </w:r>
      <w:r w:rsidR="006741F0" w:rsidRPr="00C102C2">
        <w:rPr>
          <w:rFonts w:ascii="Century Gothic" w:hAnsi="Century Gothic"/>
          <w:sz w:val="20"/>
        </w:rPr>
        <w:t>О негосударственных пенсионных фондах»</w:t>
      </w:r>
      <w:r w:rsidR="006741F0">
        <w:rPr>
          <w:rFonts w:ascii="Century Gothic" w:hAnsi="Century Gothic"/>
          <w:sz w:val="20"/>
        </w:rPr>
        <w:t xml:space="preserve"> (далее закон </w:t>
      </w:r>
      <w:r w:rsidR="00BD02D9">
        <w:rPr>
          <w:rFonts w:ascii="Century Gothic" w:hAnsi="Century Gothic"/>
          <w:sz w:val="20"/>
        </w:rPr>
        <w:t>№ </w:t>
      </w:r>
      <w:r w:rsidR="006741F0">
        <w:rPr>
          <w:rFonts w:ascii="Century Gothic" w:hAnsi="Century Gothic"/>
          <w:sz w:val="20"/>
        </w:rPr>
        <w:t>75-ФЗ)</w:t>
      </w:r>
      <w:r w:rsidR="007E27D5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</w:t>
      </w:r>
      <w:r w:rsidR="007756BF">
        <w:rPr>
          <w:rFonts w:ascii="Century Gothic" w:hAnsi="Century Gothic"/>
          <w:sz w:val="20"/>
        </w:rPr>
        <w:t>НАПФ доводит до сведения</w:t>
      </w:r>
      <w:r w:rsidR="009C4A0F">
        <w:rPr>
          <w:rFonts w:ascii="Century Gothic" w:hAnsi="Century Gothic"/>
          <w:sz w:val="20"/>
        </w:rPr>
        <w:t xml:space="preserve"> членов Ассоциации</w:t>
      </w:r>
      <w:r w:rsidR="007756BF">
        <w:rPr>
          <w:rFonts w:ascii="Century Gothic" w:hAnsi="Century Gothic"/>
          <w:sz w:val="20"/>
        </w:rPr>
        <w:t xml:space="preserve"> п</w:t>
      </w:r>
      <w:r w:rsidR="009C4A0F">
        <w:rPr>
          <w:rFonts w:ascii="Century Gothic" w:hAnsi="Century Gothic"/>
          <w:sz w:val="20"/>
        </w:rPr>
        <w:t xml:space="preserve">озицию Бухгалтерского комитета по вопросам </w:t>
      </w:r>
      <w:proofErr w:type="gramStart"/>
      <w:r w:rsidR="009C4A0F">
        <w:rPr>
          <w:rFonts w:ascii="Century Gothic" w:hAnsi="Century Gothic"/>
          <w:sz w:val="20"/>
        </w:rPr>
        <w:t>определения результатов инвестирования средств пенсионных накоплений</w:t>
      </w:r>
      <w:proofErr w:type="gramEnd"/>
      <w:r w:rsidR="009C4A0F">
        <w:rPr>
          <w:rFonts w:ascii="Century Gothic" w:hAnsi="Century Gothic"/>
          <w:sz w:val="20"/>
        </w:rPr>
        <w:t xml:space="preserve"> и расчета величины вознаграждения фонда-страховщика по обязательному пенсионному страхованию.</w:t>
      </w:r>
    </w:p>
    <w:p w:rsidR="00FD2D42" w:rsidRPr="00FD2D42" w:rsidRDefault="00D45608" w:rsidP="00FD2D42">
      <w:p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1. </w:t>
      </w:r>
      <w:r w:rsidR="00FD2D42" w:rsidRPr="00FD2D42">
        <w:rPr>
          <w:rFonts w:ascii="Century Gothic" w:hAnsi="Century Gothic"/>
          <w:b/>
          <w:sz w:val="20"/>
        </w:rPr>
        <w:t xml:space="preserve">Определение размера постоянной части вознаграждения </w:t>
      </w:r>
      <w:r w:rsidR="00043DD1">
        <w:rPr>
          <w:rFonts w:ascii="Century Gothic" w:hAnsi="Century Gothic"/>
          <w:b/>
          <w:sz w:val="20"/>
        </w:rPr>
        <w:t>фонда</w:t>
      </w:r>
      <w:r w:rsidR="00976EB8">
        <w:rPr>
          <w:rFonts w:ascii="Century Gothic" w:hAnsi="Century Gothic"/>
          <w:b/>
          <w:sz w:val="20"/>
        </w:rPr>
        <w:t>.</w:t>
      </w:r>
    </w:p>
    <w:p w:rsidR="009C4A0F" w:rsidRPr="00CA3E07" w:rsidRDefault="00FD2D42" w:rsidP="00FD2D42">
      <w:pPr>
        <w:spacing w:after="0"/>
        <w:jc w:val="both"/>
        <w:rPr>
          <w:rFonts w:ascii="Century Gothic" w:hAnsi="Century Gothic"/>
          <w:sz w:val="18"/>
        </w:rPr>
      </w:pPr>
      <w:r w:rsidRPr="00CA3E07">
        <w:rPr>
          <w:rFonts w:ascii="Century Gothic" w:hAnsi="Century Gothic"/>
          <w:sz w:val="18"/>
        </w:rPr>
        <w:t>(п.2 ст. 36.23 закона №</w:t>
      </w:r>
      <w:r w:rsidR="006741F0">
        <w:rPr>
          <w:rFonts w:ascii="Century Gothic" w:hAnsi="Century Gothic"/>
          <w:sz w:val="18"/>
        </w:rPr>
        <w:t> </w:t>
      </w:r>
      <w:r w:rsidRPr="00CA3E07">
        <w:rPr>
          <w:rFonts w:ascii="Century Gothic" w:hAnsi="Century Gothic"/>
          <w:sz w:val="18"/>
        </w:rPr>
        <w:t>75-ФЗ)</w:t>
      </w:r>
    </w:p>
    <w:p w:rsidR="00D45608" w:rsidRDefault="00D45608" w:rsidP="00D45608">
      <w:pPr>
        <w:spacing w:after="0"/>
        <w:jc w:val="both"/>
        <w:rPr>
          <w:rFonts w:ascii="Century Gothic" w:hAnsi="Century Gothic"/>
          <w:sz w:val="20"/>
        </w:rPr>
      </w:pPr>
    </w:p>
    <w:p w:rsidR="00FD2D42" w:rsidRPr="00D45608" w:rsidRDefault="00D45608" w:rsidP="00D45608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1.1. </w:t>
      </w:r>
      <w:r w:rsidR="00FD2D42" w:rsidRPr="00D45608">
        <w:rPr>
          <w:rFonts w:ascii="Century Gothic" w:hAnsi="Century Gothic"/>
          <w:sz w:val="20"/>
        </w:rPr>
        <w:t>Оплата постоянной части вознаграждения</w:t>
      </w:r>
      <w:r w:rsidR="00043DD1">
        <w:rPr>
          <w:rFonts w:ascii="Century Gothic" w:hAnsi="Century Gothic"/>
          <w:sz w:val="20"/>
        </w:rPr>
        <w:t xml:space="preserve"> фонда</w:t>
      </w:r>
      <w:r w:rsidR="00FD2D42" w:rsidRPr="00D45608">
        <w:rPr>
          <w:rFonts w:ascii="Century Gothic" w:hAnsi="Century Gothic"/>
          <w:sz w:val="20"/>
        </w:rPr>
        <w:t xml:space="preserve"> производится за счет средств пенсионных накоплений. Постоянная часть вознаграждения</w:t>
      </w:r>
      <w:r w:rsidR="00BD02D9">
        <w:rPr>
          <w:rFonts w:ascii="Century Gothic" w:hAnsi="Century Gothic"/>
          <w:sz w:val="20"/>
        </w:rPr>
        <w:t xml:space="preserve"> фонда</w:t>
      </w:r>
      <w:r w:rsidR="00FD2D42" w:rsidRPr="00D45608">
        <w:rPr>
          <w:rFonts w:ascii="Century Gothic" w:hAnsi="Century Gothic"/>
          <w:sz w:val="20"/>
        </w:rPr>
        <w:t xml:space="preserve"> уменьшает результат инвестирования средств пенсионных накоплений текущего отчетного периода. Постоянная часть вознаграждения</w:t>
      </w:r>
      <w:r w:rsidR="00043DD1">
        <w:rPr>
          <w:rFonts w:ascii="Century Gothic" w:hAnsi="Century Gothic"/>
          <w:sz w:val="20"/>
        </w:rPr>
        <w:t xml:space="preserve"> фонда</w:t>
      </w:r>
      <w:r w:rsidR="00FD2D42" w:rsidRPr="00D45608">
        <w:rPr>
          <w:rFonts w:ascii="Century Gothic" w:hAnsi="Century Gothic"/>
          <w:sz w:val="20"/>
        </w:rPr>
        <w:t xml:space="preserve"> признается в бухгалтерском учете </w:t>
      </w:r>
      <w:r w:rsidR="00567BF8" w:rsidRPr="00D45608">
        <w:rPr>
          <w:rFonts w:ascii="Century Gothic" w:hAnsi="Century Gothic"/>
          <w:sz w:val="20"/>
        </w:rPr>
        <w:t xml:space="preserve">на регулярной основе </w:t>
      </w:r>
      <w:r w:rsidR="00FD2D42" w:rsidRPr="00D45608">
        <w:rPr>
          <w:rFonts w:ascii="Century Gothic" w:hAnsi="Century Gothic"/>
          <w:sz w:val="20"/>
        </w:rPr>
        <w:t>в соответствии с порядком, предусмотренным действующим законодательством</w:t>
      </w:r>
      <w:r w:rsidR="00FD2D42">
        <w:rPr>
          <w:rStyle w:val="a6"/>
          <w:rFonts w:ascii="Century Gothic" w:hAnsi="Century Gothic"/>
          <w:sz w:val="20"/>
        </w:rPr>
        <w:footnoteReference w:id="1"/>
      </w:r>
      <w:r w:rsidR="00FD2D42" w:rsidRPr="00D45608">
        <w:rPr>
          <w:rFonts w:ascii="Century Gothic" w:hAnsi="Century Gothic"/>
          <w:sz w:val="20"/>
        </w:rPr>
        <w:t xml:space="preserve"> и внутренними нормативными документа фонда</w:t>
      </w:r>
      <w:r w:rsidR="00081FE5" w:rsidRPr="00D45608">
        <w:rPr>
          <w:rFonts w:ascii="Century Gothic" w:hAnsi="Century Gothic"/>
          <w:sz w:val="20"/>
        </w:rPr>
        <w:t>,</w:t>
      </w:r>
      <w:r w:rsidR="00567BF8" w:rsidRPr="00D45608">
        <w:rPr>
          <w:rFonts w:ascii="Century Gothic" w:hAnsi="Century Gothic"/>
          <w:sz w:val="20"/>
        </w:rPr>
        <w:t xml:space="preserve"> вне зависимости от фактического перечисления денежных средств между видами имущества</w:t>
      </w:r>
      <w:r w:rsidR="00FD2D42" w:rsidRPr="00D45608">
        <w:rPr>
          <w:rFonts w:ascii="Century Gothic" w:hAnsi="Century Gothic"/>
          <w:sz w:val="20"/>
        </w:rPr>
        <w:t>.</w:t>
      </w:r>
    </w:p>
    <w:p w:rsidR="00043DD1" w:rsidRDefault="00043DD1" w:rsidP="007E27D5">
      <w:pPr>
        <w:spacing w:after="0"/>
        <w:ind w:left="360"/>
        <w:jc w:val="both"/>
        <w:rPr>
          <w:rFonts w:ascii="Century Gothic" w:hAnsi="Century Gothic"/>
          <w:sz w:val="20"/>
        </w:rPr>
      </w:pPr>
    </w:p>
    <w:p w:rsidR="007E27D5" w:rsidRDefault="007E27D5" w:rsidP="00043DD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 xml:space="preserve">Исходя из сложившейся практики применения по итогам 2018 года, с учетом изменения законодательства в части Постоянного вознаграждения с 18.03.2018 года, формула для расчета Постоянной части вознаграждения </w:t>
      </w:r>
      <w:r w:rsidR="00043DD1">
        <w:rPr>
          <w:rFonts w:ascii="Century Gothic" w:hAnsi="Century Gothic"/>
          <w:sz w:val="20"/>
        </w:rPr>
        <w:t xml:space="preserve">фонда </w:t>
      </w:r>
      <w:r>
        <w:rPr>
          <w:rFonts w:ascii="Century Gothic" w:hAnsi="Century Gothic"/>
          <w:sz w:val="20"/>
        </w:rPr>
        <w:t>имеет следующий вид (</w:t>
      </w:r>
      <w:r w:rsidR="00043DD1" w:rsidRPr="00043DD1">
        <w:rPr>
          <w:rFonts w:ascii="Century Gothic" w:hAnsi="Century Gothic" w:cs="Century Gothic"/>
          <w:sz w:val="20"/>
          <w:szCs w:val="20"/>
        </w:rPr>
        <w:t>с учетом требований, предусмотренных п.</w:t>
      </w:r>
      <w:r w:rsidR="00BD02D9">
        <w:rPr>
          <w:rFonts w:ascii="Century Gothic" w:hAnsi="Century Gothic" w:cs="Century Gothic"/>
          <w:sz w:val="20"/>
          <w:szCs w:val="20"/>
        </w:rPr>
        <w:t> </w:t>
      </w:r>
      <w:r w:rsidR="00043DD1" w:rsidRPr="00043DD1">
        <w:rPr>
          <w:rFonts w:ascii="Century Gothic" w:hAnsi="Century Gothic" w:cs="Century Gothic"/>
          <w:sz w:val="20"/>
          <w:szCs w:val="20"/>
        </w:rPr>
        <w:t>2 ст.</w:t>
      </w:r>
      <w:r w:rsidR="00BD02D9">
        <w:rPr>
          <w:rFonts w:ascii="Century Gothic" w:hAnsi="Century Gothic" w:cs="Century Gothic"/>
          <w:sz w:val="20"/>
          <w:szCs w:val="20"/>
        </w:rPr>
        <w:t> </w:t>
      </w:r>
      <w:r w:rsidR="00043DD1" w:rsidRPr="00043DD1">
        <w:rPr>
          <w:rFonts w:ascii="Century Gothic" w:hAnsi="Century Gothic" w:cs="Century Gothic"/>
          <w:sz w:val="20"/>
          <w:szCs w:val="20"/>
        </w:rPr>
        <w:t>36.23 закона</w:t>
      </w:r>
      <w:r w:rsidR="00043DD1">
        <w:rPr>
          <w:rFonts w:ascii="Century Gothic" w:hAnsi="Century Gothic" w:cs="Century Gothic"/>
          <w:sz w:val="20"/>
          <w:szCs w:val="20"/>
        </w:rPr>
        <w:t xml:space="preserve"> № 75-ФЗ и</w:t>
      </w:r>
      <w:r w:rsidR="00043DD1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в зависимости от сложившейся ситуации в каждом фонде, некоторые показатели могут отсутствовать)</w:t>
      </w:r>
      <w:r w:rsidR="009843F7">
        <w:rPr>
          <w:rFonts w:ascii="Century Gothic" w:hAnsi="Century Gothic"/>
          <w:sz w:val="20"/>
        </w:rPr>
        <w:t>:</w:t>
      </w:r>
      <w:proofErr w:type="gramEnd"/>
    </w:p>
    <w:p w:rsidR="007E27D5" w:rsidRPr="00D45608" w:rsidRDefault="007E27D5" w:rsidP="00976EB8">
      <w:pPr>
        <w:pStyle w:val="11"/>
        <w:numPr>
          <w:ilvl w:val="0"/>
          <w:numId w:val="0"/>
        </w:numPr>
        <w:ind w:left="426"/>
        <w:jc w:val="left"/>
        <w:outlineLvl w:val="0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 xml:space="preserve">S=0,75%× </m:t>
        </m:r>
        <m:f>
          <m:fPr>
            <m:ctrlPr>
              <w:rPr>
                <w:rFonts w:ascii="Cambria Math" w:eastAsiaTheme="minorHAnsi" w:hAnsi="Cambria Math" w:cstheme="minorBidi"/>
                <w:sz w:val="20"/>
                <w:szCs w:val="2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 w:cstheme="minorBidi"/>
                    <w:sz w:val="20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sz w:val="20"/>
                    <w:szCs w:val="22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sz w:val="20"/>
                    <w:szCs w:val="2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 w:cstheme="minorBidi"/>
                        <w:sz w:val="20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0"/>
                        <w:szCs w:val="22"/>
                      </w:rPr>
                      <m:t>СЧА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0"/>
                        <w:szCs w:val="22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T</m:t>
            </m:r>
          </m:den>
        </m:f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-НРУК-СД+</m:t>
        </m:r>
        <m:sSub>
          <m:sSubPr>
            <m:ctrlPr>
              <w:rPr>
                <w:rFonts w:ascii="Cambria Math" w:eastAsiaTheme="minorHAnsi" w:hAnsi="Cambria Math" w:cstheme="minorBidi"/>
                <w:sz w:val="2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СД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возврат</m:t>
            </m:r>
          </m:sub>
        </m:sSub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+АСВ+РОПС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>, где</w:t>
      </w:r>
      <w:r w:rsidR="00043DD1">
        <w:rPr>
          <w:rFonts w:ascii="Century Gothic" w:eastAsiaTheme="minorHAnsi" w:hAnsi="Century Gothic" w:cstheme="minorBidi"/>
          <w:sz w:val="20"/>
          <w:szCs w:val="22"/>
        </w:rPr>
        <w:t>:</w:t>
      </w:r>
    </w:p>
    <w:p w:rsidR="007E27D5" w:rsidRPr="00D45608" w:rsidRDefault="00CE1033" w:rsidP="00976EB8">
      <w:pPr>
        <w:pStyle w:val="11"/>
        <w:numPr>
          <w:ilvl w:val="0"/>
          <w:numId w:val="0"/>
        </w:numPr>
        <w:ind w:left="426"/>
        <w:rPr>
          <w:rFonts w:ascii="Century Gothic" w:eastAsiaTheme="minorHAnsi" w:hAnsi="Century Gothic" w:cstheme="minorBidi"/>
          <w:sz w:val="20"/>
          <w:szCs w:val="22"/>
        </w:rPr>
      </w:pPr>
      <m:oMath>
        <m:sSub>
          <m:sSubPr>
            <m:ctrlPr>
              <w:rPr>
                <w:rFonts w:ascii="Cambria Math" w:eastAsiaTheme="minorHAnsi" w:hAnsi="Cambria Math" w:cstheme="minorBidi"/>
                <w:sz w:val="2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СЧА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i</m:t>
            </m:r>
          </m:sub>
        </m:sSub>
      </m:oMath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 – стоимость чистых активов на день </w:t>
      </w: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 xml:space="preserve">i </m:t>
        </m:r>
      </m:oMath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согласно Таблицам (у каждого Фонда свои данные по </w:t>
      </w:r>
      <w:r w:rsidR="00DB6BB8" w:rsidRPr="00D45608">
        <w:rPr>
          <w:rFonts w:ascii="Century Gothic" w:eastAsiaTheme="minorHAnsi" w:hAnsi="Century Gothic" w:cstheme="minorBidi"/>
          <w:sz w:val="20"/>
          <w:szCs w:val="22"/>
        </w:rPr>
        <w:t>СЧА) в</w:t>
      </w:r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 соответствии с портфелем;</w:t>
      </w:r>
    </w:p>
    <w:p w:rsidR="007E27D5" w:rsidRPr="00D45608" w:rsidRDefault="007E27D5" w:rsidP="00976EB8">
      <w:pPr>
        <w:pStyle w:val="11"/>
        <w:numPr>
          <w:ilvl w:val="0"/>
          <w:numId w:val="0"/>
        </w:numPr>
        <w:ind w:left="426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НРУК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– необходимые расходы </w:t>
      </w:r>
      <w:r w:rsidR="00DB6BB8" w:rsidRPr="00D45608">
        <w:rPr>
          <w:rFonts w:ascii="Century Gothic" w:eastAsiaTheme="minorHAnsi" w:hAnsi="Century Gothic" w:cstheme="minorBidi"/>
          <w:sz w:val="20"/>
          <w:szCs w:val="22"/>
        </w:rPr>
        <w:t>Управляющих компаний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за расчетный период согласно Таблицам </w:t>
      </w:r>
      <w:r w:rsidR="00DB6BB8" w:rsidRPr="00D45608">
        <w:rPr>
          <w:rFonts w:ascii="Century Gothic" w:eastAsiaTheme="minorHAnsi" w:hAnsi="Century Gothic" w:cstheme="minorBidi"/>
          <w:sz w:val="20"/>
          <w:szCs w:val="22"/>
        </w:rPr>
        <w:t xml:space="preserve">(у каждого Фонда свои данные, образец см. ниже)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в соответствии с портфелем;</w:t>
      </w:r>
    </w:p>
    <w:p w:rsidR="007E27D5" w:rsidRPr="00D45608" w:rsidRDefault="007E27D5" w:rsidP="00976EB8">
      <w:pPr>
        <w:pStyle w:val="11"/>
        <w:numPr>
          <w:ilvl w:val="0"/>
          <w:numId w:val="0"/>
        </w:numPr>
        <w:ind w:left="426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СД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– услуги специализированного депозитария и необходимые расходы специализированного депозитария, оплаченные из средств пенсионных накоплений за период с </w:t>
      </w:r>
      <w:r w:rsidR="00F32B4C" w:rsidRPr="00D45608">
        <w:rPr>
          <w:rFonts w:ascii="Century Gothic" w:eastAsiaTheme="minorHAnsi" w:hAnsi="Century Gothic" w:cstheme="minorBidi"/>
          <w:sz w:val="20"/>
          <w:szCs w:val="22"/>
        </w:rPr>
        <w:t xml:space="preserve">01.01.2018 по 17.03.2018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согласно </w:t>
      </w:r>
      <w:r w:rsidR="005B3A0F" w:rsidRPr="00D45608">
        <w:rPr>
          <w:rFonts w:ascii="Century Gothic" w:eastAsiaTheme="minorHAnsi" w:hAnsi="Century Gothic" w:cstheme="minorBidi"/>
          <w:sz w:val="20"/>
          <w:szCs w:val="22"/>
        </w:rPr>
        <w:t xml:space="preserve">Таблицам (у каждого Фонда свои данные, образец см. ниже)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в соответствии с портфелем</w:t>
      </w:r>
      <w:r w:rsidR="00963B55" w:rsidRPr="00D45608">
        <w:rPr>
          <w:rFonts w:ascii="Century Gothic" w:eastAsiaTheme="minorHAnsi" w:hAnsi="Century Gothic" w:cstheme="minorBidi"/>
          <w:sz w:val="20"/>
          <w:szCs w:val="22"/>
        </w:rPr>
        <w:t>;</w:t>
      </w:r>
    </w:p>
    <w:p w:rsidR="007E27D5" w:rsidRPr="00D45608" w:rsidRDefault="00CE1033" w:rsidP="00976EB8">
      <w:pPr>
        <w:pStyle w:val="11"/>
        <w:numPr>
          <w:ilvl w:val="0"/>
          <w:numId w:val="0"/>
        </w:numPr>
        <w:ind w:left="426"/>
        <w:rPr>
          <w:rFonts w:ascii="Century Gothic" w:eastAsiaTheme="minorHAnsi" w:hAnsi="Century Gothic" w:cstheme="minorBidi"/>
          <w:sz w:val="20"/>
          <w:szCs w:val="22"/>
        </w:rPr>
      </w:pPr>
      <m:oMath>
        <m:sSub>
          <m:sSubPr>
            <m:ctrlPr>
              <w:rPr>
                <w:rFonts w:ascii="Cambria Math" w:eastAsiaTheme="minorHAnsi" w:hAnsi="Cambria Math" w:cstheme="minorBidi"/>
                <w:sz w:val="2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СД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возврат</m:t>
            </m:r>
          </m:sub>
        </m:sSub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-</m:t>
        </m:r>
      </m:oMath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 возврат вознаграждения за услуги специализированного депозитария, оплаченные из средств пенсионных накоплений за период с 18.03.2018 по </w:t>
      </w:r>
      <w:r w:rsidR="003B2DD1" w:rsidRPr="00D45608">
        <w:rPr>
          <w:rFonts w:ascii="Century Gothic" w:eastAsiaTheme="minorHAnsi" w:hAnsi="Century Gothic" w:cstheme="minorBidi"/>
          <w:sz w:val="20"/>
          <w:szCs w:val="22"/>
        </w:rPr>
        <w:t>__</w:t>
      </w:r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>.</w:t>
      </w:r>
      <w:r w:rsidR="003B2DD1" w:rsidRPr="00D45608">
        <w:rPr>
          <w:rFonts w:ascii="Century Gothic" w:eastAsiaTheme="minorHAnsi" w:hAnsi="Century Gothic" w:cstheme="minorBidi"/>
          <w:sz w:val="20"/>
          <w:szCs w:val="22"/>
        </w:rPr>
        <w:t>__</w:t>
      </w:r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 xml:space="preserve">.2018 согласно Таблице </w:t>
      </w:r>
      <w:r w:rsidR="003B2DD1" w:rsidRPr="00D45608">
        <w:rPr>
          <w:rFonts w:ascii="Century Gothic" w:eastAsiaTheme="minorHAnsi" w:hAnsi="Century Gothic" w:cstheme="minorBidi"/>
          <w:sz w:val="20"/>
          <w:szCs w:val="22"/>
        </w:rPr>
        <w:t xml:space="preserve">(у каждого Фонда свои данные, образец см. ниже) </w:t>
      </w:r>
      <w:r w:rsidR="007E27D5" w:rsidRPr="00D45608">
        <w:rPr>
          <w:rFonts w:ascii="Century Gothic" w:eastAsiaTheme="minorHAnsi" w:hAnsi="Century Gothic" w:cstheme="minorBidi"/>
          <w:sz w:val="20"/>
          <w:szCs w:val="22"/>
        </w:rPr>
        <w:t>в соответствии с портфелем;</w:t>
      </w:r>
    </w:p>
    <w:p w:rsidR="007E27D5" w:rsidRPr="00D45608" w:rsidRDefault="007E27D5" w:rsidP="00976EB8">
      <w:pPr>
        <w:pStyle w:val="11"/>
        <w:numPr>
          <w:ilvl w:val="0"/>
          <w:numId w:val="0"/>
        </w:numPr>
        <w:ind w:left="426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АСВ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– взнос в фонд гарантирования прав застрахованных лиц за </w:t>
      </w:r>
      <w:r w:rsidR="007F2E77" w:rsidRPr="00D45608">
        <w:rPr>
          <w:rFonts w:ascii="Century Gothic" w:eastAsiaTheme="minorHAnsi" w:hAnsi="Century Gothic" w:cstheme="minorBidi"/>
          <w:sz w:val="20"/>
          <w:szCs w:val="22"/>
        </w:rPr>
        <w:t>расчетный год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;</w:t>
      </w:r>
    </w:p>
    <w:p w:rsidR="007E27D5" w:rsidRPr="00D45608" w:rsidRDefault="007E27D5" w:rsidP="00976EB8">
      <w:pPr>
        <w:pStyle w:val="11"/>
        <w:numPr>
          <w:ilvl w:val="0"/>
          <w:numId w:val="0"/>
        </w:numPr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  <m:oMath>
        <m:r>
          <m:rPr>
            <m:sty m:val="p"/>
          </m:rPr>
          <w:rPr>
            <w:rFonts w:ascii="Cambria Math" w:eastAsiaTheme="minorHAnsi" w:hAnsi="Cambria Math" w:cstheme="minorBidi"/>
            <w:sz w:val="20"/>
            <w:szCs w:val="22"/>
          </w:rPr>
          <m:t>РОПС</m:t>
        </m:r>
      </m:oMath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– взнос в резерв фонда по обязательному пенсионному страхованию за </w:t>
      </w:r>
      <w:r w:rsidR="007F2E77" w:rsidRPr="00D45608">
        <w:rPr>
          <w:rFonts w:ascii="Century Gothic" w:eastAsiaTheme="minorHAnsi" w:hAnsi="Century Gothic" w:cstheme="minorBidi"/>
          <w:sz w:val="20"/>
          <w:szCs w:val="22"/>
        </w:rPr>
        <w:t xml:space="preserve">счетный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год согласно </w:t>
      </w:r>
      <w:proofErr w:type="spellStart"/>
      <w:r w:rsidR="00043DD1" w:rsidRPr="00D45608">
        <w:rPr>
          <w:rFonts w:ascii="Century Gothic" w:eastAsiaTheme="minorHAnsi" w:hAnsi="Century Gothic" w:cstheme="minorBidi"/>
          <w:sz w:val="20"/>
          <w:szCs w:val="22"/>
        </w:rPr>
        <w:t>п</w:t>
      </w:r>
      <w:r w:rsidR="00043DD1">
        <w:rPr>
          <w:rFonts w:ascii="Century Gothic" w:eastAsiaTheme="minorHAnsi" w:hAnsi="Century Gothic" w:cstheme="minorBidi"/>
          <w:sz w:val="20"/>
          <w:szCs w:val="22"/>
        </w:rPr>
        <w:t>п</w:t>
      </w:r>
      <w:proofErr w:type="spellEnd"/>
      <w:r w:rsidR="00043DD1">
        <w:rPr>
          <w:rFonts w:ascii="Century Gothic" w:eastAsiaTheme="minorHAnsi" w:hAnsi="Century Gothic" w:cstheme="minorBidi"/>
          <w:sz w:val="20"/>
          <w:szCs w:val="22"/>
        </w:rPr>
        <w:t>.</w:t>
      </w:r>
      <w:r w:rsidR="00BD02D9">
        <w:rPr>
          <w:rFonts w:ascii="Century Gothic" w:eastAsiaTheme="minorHAnsi" w:hAnsi="Century Gothic" w:cstheme="minorBidi"/>
          <w:sz w:val="20"/>
          <w:szCs w:val="22"/>
        </w:rPr>
        <w:t> 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1 п</w:t>
      </w:r>
      <w:r w:rsidR="00043DD1">
        <w:rPr>
          <w:rFonts w:ascii="Century Gothic" w:eastAsiaTheme="minorHAnsi" w:hAnsi="Century Gothic" w:cstheme="minorBidi"/>
          <w:sz w:val="20"/>
          <w:szCs w:val="22"/>
        </w:rPr>
        <w:t>.</w:t>
      </w:r>
      <w:r w:rsidR="00BD02D9">
        <w:rPr>
          <w:rFonts w:ascii="Century Gothic" w:eastAsiaTheme="minorHAnsi" w:hAnsi="Century Gothic" w:cstheme="minorBidi"/>
          <w:sz w:val="20"/>
          <w:szCs w:val="22"/>
        </w:rPr>
        <w:t> 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2 ст</w:t>
      </w:r>
      <w:r w:rsidR="00043DD1">
        <w:rPr>
          <w:rFonts w:ascii="Century Gothic" w:eastAsiaTheme="minorHAnsi" w:hAnsi="Century Gothic" w:cstheme="minorBidi"/>
          <w:sz w:val="20"/>
          <w:szCs w:val="22"/>
        </w:rPr>
        <w:t>.</w:t>
      </w:r>
      <w:r w:rsidR="00BD02D9">
        <w:rPr>
          <w:rFonts w:ascii="Century Gothic" w:eastAsiaTheme="minorHAnsi" w:hAnsi="Century Gothic" w:cstheme="minorBidi"/>
          <w:sz w:val="20"/>
          <w:szCs w:val="22"/>
        </w:rPr>
        <w:t> 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20.1</w:t>
      </w:r>
      <w:r w:rsidR="00043DD1">
        <w:rPr>
          <w:rFonts w:ascii="Century Gothic" w:eastAsiaTheme="minorHAnsi" w:hAnsi="Century Gothic" w:cstheme="minorBidi"/>
          <w:sz w:val="20"/>
          <w:szCs w:val="22"/>
        </w:rPr>
        <w:t xml:space="preserve"> закона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 </w:t>
      </w:r>
      <w:r w:rsidR="00BD02D9">
        <w:rPr>
          <w:rFonts w:ascii="Century Gothic" w:eastAsiaTheme="minorHAnsi" w:hAnsi="Century Gothic" w:cstheme="minorBidi"/>
          <w:sz w:val="20"/>
          <w:szCs w:val="22"/>
        </w:rPr>
        <w:t>№ 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75-ФЗ</w:t>
      </w:r>
      <w:r w:rsidR="00963B55" w:rsidRPr="00D45608">
        <w:rPr>
          <w:rFonts w:ascii="Century Gothic" w:eastAsiaTheme="minorHAnsi" w:hAnsi="Century Gothic" w:cstheme="minorBidi"/>
          <w:sz w:val="20"/>
          <w:szCs w:val="22"/>
        </w:rPr>
        <w:t>;</w:t>
      </w:r>
    </w:p>
    <w:p w:rsidR="007E27D5" w:rsidRPr="00D45608" w:rsidRDefault="007E27D5" w:rsidP="00976EB8">
      <w:pPr>
        <w:pStyle w:val="11"/>
        <w:numPr>
          <w:ilvl w:val="0"/>
          <w:numId w:val="0"/>
        </w:numPr>
        <w:ind w:left="426"/>
        <w:rPr>
          <w:rFonts w:ascii="Century Gothic" w:eastAsiaTheme="minorHAnsi" w:hAnsi="Century Gothic" w:cstheme="minorBidi"/>
          <w:sz w:val="20"/>
          <w:szCs w:val="22"/>
        </w:rPr>
      </w:pPr>
      <w:r w:rsidRPr="00D45608">
        <w:rPr>
          <w:rFonts w:ascii="Century Gothic" w:eastAsiaTheme="minorHAnsi" w:hAnsi="Century Gothic" w:cstheme="minorBidi"/>
          <w:sz w:val="20"/>
          <w:szCs w:val="22"/>
        </w:rPr>
        <w:t xml:space="preserve">T – количество рабочих дней в </w:t>
      </w:r>
      <w:r w:rsidR="007F2E77" w:rsidRPr="00D45608">
        <w:rPr>
          <w:rFonts w:ascii="Century Gothic" w:eastAsiaTheme="minorHAnsi" w:hAnsi="Century Gothic" w:cstheme="minorBidi"/>
          <w:sz w:val="20"/>
          <w:szCs w:val="22"/>
        </w:rPr>
        <w:t xml:space="preserve">расчетном </w:t>
      </w:r>
      <w:r w:rsidRPr="00D45608">
        <w:rPr>
          <w:rFonts w:ascii="Century Gothic" w:eastAsiaTheme="minorHAnsi" w:hAnsi="Century Gothic" w:cstheme="minorBidi"/>
          <w:sz w:val="20"/>
          <w:szCs w:val="22"/>
        </w:rPr>
        <w:t>году;</w:t>
      </w:r>
    </w:p>
    <w:p w:rsidR="007E27D5" w:rsidRPr="00D45608" w:rsidRDefault="007E27D5" w:rsidP="00976EB8">
      <w:pPr>
        <w:pStyle w:val="11"/>
        <w:numPr>
          <w:ilvl w:val="0"/>
          <w:numId w:val="0"/>
        </w:numPr>
        <w:ind w:left="426"/>
        <w:rPr>
          <w:rFonts w:ascii="Century Gothic" w:eastAsiaTheme="minorHAnsi" w:hAnsi="Century Gothic" w:cstheme="minorBidi"/>
          <w:sz w:val="20"/>
          <w:szCs w:val="22"/>
        </w:rPr>
      </w:pPr>
      <w:r w:rsidRPr="00D45608">
        <w:rPr>
          <w:rFonts w:ascii="Century Gothic" w:eastAsiaTheme="minorHAnsi" w:hAnsi="Century Gothic" w:cstheme="minorBidi"/>
          <w:sz w:val="20"/>
          <w:szCs w:val="22"/>
        </w:rPr>
        <w:t>N – количество рабочих дней за расчетный период;</w:t>
      </w:r>
    </w:p>
    <w:p w:rsidR="008D2635" w:rsidRPr="003D4E85" w:rsidRDefault="007F2E77" w:rsidP="00976EB8">
      <w:pPr>
        <w:pStyle w:val="11"/>
        <w:numPr>
          <w:ilvl w:val="0"/>
          <w:numId w:val="0"/>
        </w:numPr>
        <w:spacing w:before="0"/>
        <w:ind w:left="426"/>
        <w:outlineLvl w:val="0"/>
        <w:rPr>
          <w:rFonts w:ascii="Century Gothic" w:eastAsiaTheme="minorHAnsi" w:hAnsi="Century Gothic" w:cstheme="minorBidi"/>
          <w:b/>
          <w:sz w:val="20"/>
          <w:szCs w:val="22"/>
        </w:rPr>
      </w:pPr>
      <w:r w:rsidRPr="003D4E85">
        <w:rPr>
          <w:rFonts w:ascii="Century Gothic" w:eastAsiaTheme="minorHAnsi" w:hAnsi="Century Gothic" w:cstheme="minorBidi"/>
          <w:b/>
          <w:sz w:val="20"/>
          <w:szCs w:val="22"/>
        </w:rPr>
        <w:lastRenderedPageBreak/>
        <w:t xml:space="preserve">Пример формирования показателей, включенных в расчет </w:t>
      </w:r>
      <w:r w:rsidRPr="00976EB8">
        <w:rPr>
          <w:rFonts w:ascii="Century Gothic" w:eastAsiaTheme="minorHAnsi" w:hAnsi="Century Gothic" w:cstheme="minorBidi"/>
          <w:b/>
          <w:szCs w:val="24"/>
        </w:rPr>
        <w:t>S</w:t>
      </w:r>
      <w:r w:rsidR="00C102C2" w:rsidRPr="003D4E85">
        <w:rPr>
          <w:rFonts w:ascii="Century Gothic" w:eastAsiaTheme="minorHAnsi" w:hAnsi="Century Gothic" w:cstheme="minorBidi"/>
          <w:b/>
          <w:sz w:val="20"/>
          <w:szCs w:val="22"/>
        </w:rPr>
        <w:t xml:space="preserve"> для 2018 года</w:t>
      </w:r>
      <w:r w:rsidRPr="003D4E85">
        <w:rPr>
          <w:rFonts w:ascii="Century Gothic" w:eastAsiaTheme="minorHAnsi" w:hAnsi="Century Gothic" w:cstheme="minorBidi"/>
          <w:b/>
          <w:sz w:val="20"/>
          <w:szCs w:val="22"/>
        </w:rPr>
        <w:t>.</w:t>
      </w:r>
    </w:p>
    <w:p w:rsidR="008D2635" w:rsidRPr="00D45608" w:rsidRDefault="008D2635" w:rsidP="00976EB8">
      <w:pPr>
        <w:pStyle w:val="11"/>
        <w:numPr>
          <w:ilvl w:val="0"/>
          <w:numId w:val="0"/>
        </w:numPr>
        <w:spacing w:before="0"/>
        <w:ind w:left="426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227280" w:rsidRDefault="008D2635" w:rsidP="00976EB8">
      <w:pPr>
        <w:pStyle w:val="11"/>
        <w:numPr>
          <w:ilvl w:val="0"/>
          <w:numId w:val="0"/>
        </w:numPr>
        <w:spacing w:before="0"/>
        <w:ind w:left="426"/>
        <w:rPr>
          <w:rFonts w:ascii="Century Gothic" w:eastAsiaTheme="minorHAnsi" w:hAnsi="Century Gothic" w:cstheme="minorBidi"/>
          <w:b/>
          <w:sz w:val="20"/>
          <w:szCs w:val="22"/>
        </w:rPr>
      </w:pPr>
      <w:r w:rsidRPr="00227280">
        <w:rPr>
          <w:rFonts w:ascii="Century Gothic" w:eastAsiaTheme="minorHAnsi" w:hAnsi="Century Gothic" w:cstheme="minorBidi"/>
          <w:b/>
          <w:sz w:val="20"/>
          <w:szCs w:val="22"/>
        </w:rPr>
        <w:t>(НРУК)</w:t>
      </w:r>
    </w:p>
    <w:p w:rsidR="008D2635" w:rsidRPr="00F52FA6" w:rsidRDefault="008D2635" w:rsidP="00F52FA6">
      <w:pPr>
        <w:spacing w:after="0"/>
        <w:jc w:val="both"/>
        <w:rPr>
          <w:rFonts w:ascii="Century Gothic" w:hAnsi="Century Gothic"/>
          <w:sz w:val="20"/>
        </w:rPr>
      </w:pPr>
      <w:r w:rsidRPr="00F52FA6">
        <w:rPr>
          <w:rFonts w:ascii="Century Gothic" w:hAnsi="Century Gothic"/>
          <w:sz w:val="20"/>
        </w:rPr>
        <w:t>Таблица ____. Необходимые расходы Управляющей компании, портфель 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2179"/>
      </w:tblGrid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Наименование расходов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:rsidR="008D2635" w:rsidRPr="00D45608" w:rsidRDefault="008D2635" w:rsidP="00A81672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Сумма расходов, руб.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Услуги брокера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Комиссия банков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Услуги депозитария за период с 01.01.2018 по 17.03.2018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Возмещение расходов депозитария за период с 01.01.2018 по 17.03.2018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Вознаграждение Управляющей компании, оплаченное из средств пенсионных накоплений за период с 01.01.2018 по 17.03.2018 включительно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Услуги депозитария за период с 18.03.2018 по дату, когда заплатили последний раз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Возмещение расходов депозитария за период с 18.03.2018 по дату, когда заплатили последний раз</w:t>
            </w:r>
          </w:p>
        </w:tc>
        <w:tc>
          <w:tcPr>
            <w:tcW w:w="2179" w:type="dxa"/>
            <w:shd w:val="clear" w:color="auto" w:fill="auto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283"/>
        </w:trPr>
        <w:tc>
          <w:tcPr>
            <w:tcW w:w="7427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Итого расходы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</w:tbl>
    <w:p w:rsidR="008D2635" w:rsidRPr="00D45608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227280" w:rsidRDefault="008D2635" w:rsidP="00D45608">
      <w:pPr>
        <w:pStyle w:val="11"/>
        <w:numPr>
          <w:ilvl w:val="0"/>
          <w:numId w:val="0"/>
        </w:numPr>
        <w:spacing w:before="0"/>
        <w:ind w:left="426"/>
        <w:jc w:val="left"/>
        <w:rPr>
          <w:rFonts w:ascii="Century Gothic" w:eastAsiaTheme="minorHAnsi" w:hAnsi="Century Gothic" w:cstheme="minorBidi"/>
          <w:b/>
          <w:sz w:val="20"/>
          <w:szCs w:val="22"/>
        </w:rPr>
      </w:pPr>
      <w:r w:rsidRPr="00227280">
        <w:rPr>
          <w:rFonts w:ascii="Century Gothic" w:eastAsiaTheme="minorHAnsi" w:hAnsi="Century Gothic" w:cstheme="minorBidi"/>
          <w:b/>
          <w:sz w:val="20"/>
          <w:szCs w:val="22"/>
        </w:rPr>
        <w:t>(СД)</w:t>
      </w:r>
    </w:p>
    <w:p w:rsidR="008D2635" w:rsidRPr="00F52FA6" w:rsidRDefault="008D2635" w:rsidP="00F52FA6">
      <w:pPr>
        <w:spacing w:after="0"/>
        <w:jc w:val="both"/>
        <w:rPr>
          <w:rFonts w:ascii="Century Gothic" w:hAnsi="Century Gothic"/>
          <w:sz w:val="20"/>
        </w:rPr>
      </w:pPr>
      <w:r w:rsidRPr="00F52FA6">
        <w:rPr>
          <w:rFonts w:ascii="Century Gothic" w:hAnsi="Century Gothic"/>
          <w:sz w:val="20"/>
        </w:rPr>
        <w:t>Таблица Услуги специализированного депозитария, оказанные Фонду, оплаченные из средств пенсионных накоплений за период с 01.01.2018 по 17.03.2018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675"/>
        <w:gridCol w:w="5836"/>
        <w:gridCol w:w="2095"/>
      </w:tblGrid>
      <w:tr w:rsidR="009843F7" w:rsidRPr="00D45608" w:rsidTr="009843F7">
        <w:trPr>
          <w:trHeight w:val="509"/>
          <w:tblHeader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7" w:rsidRPr="00D45608" w:rsidRDefault="009843F7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Портфель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7" w:rsidRPr="00D45608" w:rsidRDefault="009843F7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Вид вознаграждения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7" w:rsidRPr="00D45608" w:rsidRDefault="009843F7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Сумма, руб.</w:t>
            </w:r>
          </w:p>
        </w:tc>
      </w:tr>
      <w:tr w:rsidR="008D2635" w:rsidRPr="00D45608" w:rsidTr="00A81672">
        <w:trPr>
          <w:trHeight w:val="5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</w:t>
            </w:r>
            <w:r w:rsidR="007F2E77"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а 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5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</w:t>
            </w:r>
            <w:r w:rsidR="007F2E77"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а 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5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</w:t>
            </w:r>
            <w:r w:rsidR="007F2E77"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а 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516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Услуг</w:t>
            </w:r>
            <w:r w:rsidR="007F2E77"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а 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340"/>
        </w:trPr>
        <w:tc>
          <w:tcPr>
            <w:tcW w:w="7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Итого расходы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</w:tbl>
    <w:p w:rsidR="007F2E77" w:rsidRPr="00D45608" w:rsidRDefault="007F2E77" w:rsidP="00976EB8">
      <w:pPr>
        <w:pStyle w:val="11"/>
        <w:numPr>
          <w:ilvl w:val="0"/>
          <w:numId w:val="0"/>
        </w:numPr>
        <w:spacing w:before="0"/>
        <w:ind w:left="426"/>
        <w:rPr>
          <w:rFonts w:ascii="Century Gothic" w:eastAsiaTheme="minorHAnsi" w:hAnsi="Century Gothic" w:cstheme="minorBidi"/>
          <w:sz w:val="20"/>
          <w:szCs w:val="22"/>
        </w:rPr>
      </w:pPr>
    </w:p>
    <w:p w:rsidR="008D2635" w:rsidRPr="00227280" w:rsidRDefault="008D2635" w:rsidP="00976EB8">
      <w:pPr>
        <w:pStyle w:val="11"/>
        <w:numPr>
          <w:ilvl w:val="0"/>
          <w:numId w:val="0"/>
        </w:numPr>
        <w:spacing w:before="0"/>
        <w:ind w:left="426"/>
        <w:rPr>
          <w:rFonts w:ascii="Century Gothic" w:eastAsiaTheme="minorHAnsi" w:hAnsi="Century Gothic" w:cstheme="minorBidi"/>
          <w:b/>
          <w:sz w:val="20"/>
          <w:szCs w:val="22"/>
        </w:rPr>
      </w:pPr>
      <w:r w:rsidRPr="00227280">
        <w:rPr>
          <w:rFonts w:ascii="Century Gothic" w:eastAsiaTheme="minorHAnsi" w:hAnsi="Century Gothic" w:cstheme="minorBidi"/>
          <w:b/>
          <w:sz w:val="20"/>
          <w:szCs w:val="22"/>
        </w:rPr>
        <w:t>(</w:t>
      </w:r>
      <m:oMath>
        <m:sSub>
          <m:sSubPr>
            <m:ctrlPr>
              <w:rPr>
                <w:rFonts w:ascii="Cambria Math" w:eastAsiaTheme="minorHAnsi" w:hAnsi="Cambria Math" w:cstheme="minorBidi"/>
                <w:b/>
                <w:sz w:val="20"/>
                <w:szCs w:val="22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СД</m:t>
            </m:r>
          </m:e>
          <m:sub>
            <m:r>
              <m:rPr>
                <m:sty m:val="b"/>
              </m:rPr>
              <w:rPr>
                <w:rFonts w:ascii="Cambria Math" w:eastAsiaTheme="minorHAnsi" w:hAnsi="Cambria Math" w:cstheme="minorBidi"/>
                <w:sz w:val="20"/>
                <w:szCs w:val="22"/>
              </w:rPr>
              <m:t>возврат</m:t>
            </m:r>
          </m:sub>
        </m:sSub>
      </m:oMath>
      <w:r w:rsidRPr="00227280">
        <w:rPr>
          <w:rFonts w:ascii="Century Gothic" w:eastAsiaTheme="minorHAnsi" w:hAnsi="Century Gothic" w:cstheme="minorBidi"/>
          <w:b/>
          <w:sz w:val="20"/>
          <w:szCs w:val="22"/>
        </w:rPr>
        <w:t>)</w:t>
      </w:r>
    </w:p>
    <w:p w:rsidR="008D2635" w:rsidRPr="00F52FA6" w:rsidRDefault="008D2635" w:rsidP="00F52FA6">
      <w:pPr>
        <w:spacing w:after="0"/>
        <w:jc w:val="both"/>
        <w:rPr>
          <w:rFonts w:ascii="Century Gothic" w:hAnsi="Century Gothic"/>
          <w:sz w:val="20"/>
        </w:rPr>
      </w:pPr>
      <w:r w:rsidRPr="00F52FA6">
        <w:rPr>
          <w:rFonts w:ascii="Century Gothic" w:hAnsi="Century Gothic"/>
          <w:sz w:val="20"/>
        </w:rPr>
        <w:t>Таблица - Услуги специализированного депозитария и необходимые расходы специализированного депозитария, оплаченные из средств пенсионных накоплений за период с 18.03.2018 по __.__.2018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675"/>
        <w:gridCol w:w="4277"/>
        <w:gridCol w:w="1597"/>
        <w:gridCol w:w="2057"/>
      </w:tblGrid>
      <w:tr w:rsidR="00523296" w:rsidRPr="00D45608" w:rsidTr="009843F7">
        <w:trPr>
          <w:trHeight w:val="509"/>
          <w:tblHeader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6" w:rsidRPr="00D45608" w:rsidRDefault="00523296" w:rsidP="00523296">
            <w:pPr>
              <w:pStyle w:val="11"/>
              <w:numPr>
                <w:ilvl w:val="0"/>
                <w:numId w:val="0"/>
              </w:numPr>
              <w:spacing w:before="0"/>
              <w:jc w:val="center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Портфель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6" w:rsidRPr="00D45608" w:rsidRDefault="00523296" w:rsidP="00523296">
            <w:pPr>
              <w:pStyle w:val="11"/>
              <w:numPr>
                <w:ilvl w:val="0"/>
                <w:numId w:val="0"/>
              </w:numPr>
              <w:spacing w:before="0"/>
              <w:jc w:val="center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Вид вознаграждения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6" w:rsidRPr="00D45608" w:rsidRDefault="00523296" w:rsidP="00523296">
            <w:pPr>
              <w:pStyle w:val="11"/>
              <w:numPr>
                <w:ilvl w:val="0"/>
                <w:numId w:val="0"/>
              </w:numPr>
              <w:spacing w:before="0"/>
              <w:ind w:left="142"/>
              <w:jc w:val="center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Дата оплаты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6" w:rsidRPr="00D45608" w:rsidRDefault="00523296" w:rsidP="00523296">
            <w:pPr>
              <w:pStyle w:val="11"/>
              <w:numPr>
                <w:ilvl w:val="0"/>
                <w:numId w:val="0"/>
              </w:numPr>
              <w:spacing w:before="0"/>
              <w:jc w:val="center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Сумма, руб.</w:t>
            </w:r>
          </w:p>
        </w:tc>
      </w:tr>
      <w:tr w:rsidR="008D2635" w:rsidRPr="00D45608" w:rsidTr="00523296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976EB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Услуги </w:t>
            </w:r>
            <w:r w:rsidR="00F52FA6" w:rsidRPr="00F52FA6">
              <w:rPr>
                <w:rFonts w:ascii="Century Gothic" w:eastAsiaTheme="minorEastAsia" w:hAnsi="Century Gothic" w:cstheme="minorBidi"/>
                <w:sz w:val="20"/>
                <w:szCs w:val="22"/>
              </w:rPr>
              <w:t>специализированного депозитария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523296">
            <w:pPr>
              <w:pStyle w:val="11"/>
              <w:numPr>
                <w:ilvl w:val="0"/>
                <w:numId w:val="0"/>
              </w:numPr>
              <w:spacing w:before="0"/>
              <w:ind w:left="426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523296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976EB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Услуги </w:t>
            </w:r>
            <w:r w:rsidR="00F52FA6" w:rsidRPr="00F52FA6">
              <w:rPr>
                <w:rFonts w:ascii="Century Gothic" w:eastAsiaTheme="minorEastAsia" w:hAnsi="Century Gothic" w:cstheme="minorBidi"/>
                <w:sz w:val="20"/>
                <w:szCs w:val="22"/>
              </w:rPr>
              <w:t>специализированного депозитария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523296">
            <w:pPr>
              <w:pStyle w:val="11"/>
              <w:numPr>
                <w:ilvl w:val="0"/>
                <w:numId w:val="0"/>
              </w:numPr>
              <w:spacing w:before="0"/>
              <w:ind w:left="426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523296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976EB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Услуги </w:t>
            </w:r>
            <w:r w:rsidR="00F52FA6" w:rsidRPr="00F52FA6">
              <w:rPr>
                <w:rFonts w:ascii="Century Gothic" w:eastAsiaTheme="minorEastAsia" w:hAnsi="Century Gothic" w:cstheme="minorBidi"/>
                <w:sz w:val="20"/>
                <w:szCs w:val="22"/>
              </w:rPr>
              <w:t>специализированного депозитария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523296">
            <w:pPr>
              <w:pStyle w:val="11"/>
              <w:numPr>
                <w:ilvl w:val="0"/>
                <w:numId w:val="0"/>
              </w:numPr>
              <w:spacing w:before="0"/>
              <w:ind w:left="426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0,00</w:t>
            </w:r>
          </w:p>
        </w:tc>
      </w:tr>
      <w:tr w:rsidR="008D2635" w:rsidRPr="00D45608" w:rsidTr="00523296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976EB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Возмещение расходов депозитария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523296">
            <w:pPr>
              <w:pStyle w:val="11"/>
              <w:numPr>
                <w:ilvl w:val="0"/>
                <w:numId w:val="0"/>
              </w:numPr>
              <w:spacing w:before="0"/>
              <w:ind w:left="426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523296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523296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Возмещение расходов депозитария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523296">
            <w:pPr>
              <w:pStyle w:val="11"/>
              <w:numPr>
                <w:ilvl w:val="0"/>
                <w:numId w:val="0"/>
              </w:numPr>
              <w:spacing w:before="0"/>
              <w:ind w:left="426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 xml:space="preserve"> 0,00</w:t>
            </w:r>
          </w:p>
        </w:tc>
      </w:tr>
      <w:tr w:rsidR="008D2635" w:rsidRPr="00D45608" w:rsidTr="00523296">
        <w:trPr>
          <w:trHeight w:val="3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****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9843F7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Возмещение расходов депозитария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523296">
            <w:pPr>
              <w:pStyle w:val="11"/>
              <w:numPr>
                <w:ilvl w:val="0"/>
                <w:numId w:val="0"/>
              </w:numPr>
              <w:spacing w:before="0"/>
              <w:ind w:left="426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__.__.2018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  <w:tr w:rsidR="008D2635" w:rsidRPr="00D45608" w:rsidTr="00A81672">
        <w:trPr>
          <w:trHeight w:val="340"/>
        </w:trPr>
        <w:tc>
          <w:tcPr>
            <w:tcW w:w="7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Итого расходы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2635" w:rsidRPr="00D45608" w:rsidRDefault="008D2635" w:rsidP="00D45608">
            <w:pPr>
              <w:pStyle w:val="11"/>
              <w:numPr>
                <w:ilvl w:val="0"/>
                <w:numId w:val="0"/>
              </w:numPr>
              <w:spacing w:before="0"/>
              <w:ind w:left="426"/>
              <w:jc w:val="left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  <w:r w:rsidRPr="00D45608">
              <w:rPr>
                <w:rFonts w:ascii="Century Gothic" w:eastAsiaTheme="minorHAnsi" w:hAnsi="Century Gothic" w:cstheme="minorBidi"/>
                <w:sz w:val="20"/>
                <w:szCs w:val="22"/>
              </w:rPr>
              <w:t>0,00</w:t>
            </w:r>
          </w:p>
        </w:tc>
      </w:tr>
    </w:tbl>
    <w:p w:rsidR="00A048B4" w:rsidRDefault="00A048B4" w:rsidP="00D45608">
      <w:pPr>
        <w:spacing w:after="0"/>
        <w:jc w:val="both"/>
        <w:rPr>
          <w:rFonts w:ascii="Century Gothic" w:hAnsi="Century Gothic"/>
          <w:sz w:val="20"/>
        </w:rPr>
      </w:pPr>
    </w:p>
    <w:p w:rsidR="00D45608" w:rsidRDefault="00F33F0E" w:rsidP="00D456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lastRenderedPageBreak/>
        <w:t>При определении предельной величины постоянного вознаграждения</w:t>
      </w:r>
      <w:r w:rsidR="00F52FA6">
        <w:rPr>
          <w:rFonts w:ascii="Century Gothic" w:hAnsi="Century Gothic"/>
          <w:sz w:val="20"/>
        </w:rPr>
        <w:t xml:space="preserve"> фонда</w:t>
      </w:r>
      <w:r w:rsidRPr="00D45608">
        <w:rPr>
          <w:rFonts w:ascii="Century Gothic" w:hAnsi="Century Gothic"/>
          <w:sz w:val="20"/>
        </w:rPr>
        <w:t xml:space="preserve"> </w:t>
      </w:r>
      <w:r w:rsidR="00076170" w:rsidRPr="00D45608">
        <w:rPr>
          <w:rFonts w:ascii="Century Gothic" w:hAnsi="Century Gothic"/>
          <w:sz w:val="20"/>
        </w:rPr>
        <w:t xml:space="preserve">в состав </w:t>
      </w:r>
      <w:r w:rsidRPr="00D45608">
        <w:rPr>
          <w:rFonts w:ascii="Century Gothic" w:hAnsi="Century Gothic"/>
          <w:sz w:val="20"/>
        </w:rPr>
        <w:t>необходимых расходов управляющих компаний, непосредственно связанных с инвестированием средств пенсионных накоплений и оплачиваемых из средств пенсионных накоплений</w:t>
      </w:r>
      <w:r w:rsidR="00076170" w:rsidRPr="00D45608">
        <w:rPr>
          <w:rFonts w:ascii="Century Gothic" w:hAnsi="Century Gothic"/>
          <w:sz w:val="20"/>
        </w:rPr>
        <w:t>,</w:t>
      </w:r>
      <w:r w:rsidR="00567BF8" w:rsidRPr="00D45608">
        <w:rPr>
          <w:rFonts w:ascii="Century Gothic" w:hAnsi="Century Gothic"/>
          <w:sz w:val="20"/>
        </w:rPr>
        <w:t xml:space="preserve"> </w:t>
      </w:r>
      <w:r w:rsidR="00076170" w:rsidRPr="00D45608">
        <w:rPr>
          <w:rFonts w:ascii="Century Gothic" w:hAnsi="Century Gothic"/>
          <w:sz w:val="20"/>
        </w:rPr>
        <w:t>включаются все расходы, предусмотренные договором доверительного управления</w:t>
      </w:r>
      <w:r w:rsidR="007F2E77" w:rsidRPr="00D45608">
        <w:rPr>
          <w:rFonts w:ascii="Century Gothic" w:hAnsi="Century Gothic"/>
          <w:sz w:val="20"/>
        </w:rPr>
        <w:t>.</w:t>
      </w:r>
      <w:r w:rsidR="00D105BA" w:rsidRPr="00D45608">
        <w:rPr>
          <w:rFonts w:ascii="Century Gothic" w:hAnsi="Century Gothic"/>
          <w:sz w:val="20"/>
        </w:rPr>
        <w:t xml:space="preserve"> Расходы специализированного депозитария не являются необходимыми расходами, связанными с инвестированием </w:t>
      </w:r>
      <w:r w:rsidR="002C2006" w:rsidRPr="00D45608">
        <w:rPr>
          <w:rFonts w:ascii="Century Gothic" w:hAnsi="Century Gothic"/>
          <w:sz w:val="20"/>
        </w:rPr>
        <w:t>средств пенсионных накоплений,</w:t>
      </w:r>
      <w:r w:rsidR="00D105BA" w:rsidRPr="00D45608">
        <w:rPr>
          <w:rFonts w:ascii="Century Gothic" w:hAnsi="Century Gothic"/>
          <w:sz w:val="20"/>
        </w:rPr>
        <w:t xml:space="preserve"> и не могут быть оплачены за счет средств пенсионных накоплений</w:t>
      </w:r>
      <w:r w:rsidR="002C2006" w:rsidRPr="00D45608">
        <w:rPr>
          <w:rFonts w:ascii="Century Gothic" w:hAnsi="Century Gothic"/>
          <w:sz w:val="20"/>
        </w:rPr>
        <w:t>, начиная с 18.03.201</w:t>
      </w:r>
      <w:r w:rsidR="00D97F78" w:rsidRPr="00D45608">
        <w:rPr>
          <w:rFonts w:ascii="Century Gothic" w:hAnsi="Century Gothic"/>
          <w:sz w:val="20"/>
        </w:rPr>
        <w:t xml:space="preserve">8 </w:t>
      </w:r>
      <w:r w:rsidR="002C2006" w:rsidRPr="00D45608">
        <w:rPr>
          <w:rFonts w:ascii="Century Gothic" w:hAnsi="Century Gothic"/>
          <w:sz w:val="20"/>
        </w:rPr>
        <w:t>года</w:t>
      </w:r>
      <w:r w:rsidR="00D105BA" w:rsidRPr="00D45608">
        <w:rPr>
          <w:rFonts w:ascii="Century Gothic" w:hAnsi="Century Gothic"/>
          <w:sz w:val="20"/>
        </w:rPr>
        <w:t>.</w:t>
      </w:r>
    </w:p>
    <w:p w:rsidR="00D45608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</w:p>
    <w:p w:rsidR="002C2006" w:rsidRPr="00D45608" w:rsidRDefault="00076170" w:rsidP="00D456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Постоянное вознаграждение</w:t>
      </w:r>
      <w:r w:rsidR="00F52FA6">
        <w:rPr>
          <w:rFonts w:ascii="Century Gothic" w:hAnsi="Century Gothic"/>
          <w:sz w:val="20"/>
        </w:rPr>
        <w:t xml:space="preserve"> фонда</w:t>
      </w:r>
      <w:r w:rsidRPr="00D45608">
        <w:rPr>
          <w:rFonts w:ascii="Century Gothic" w:hAnsi="Century Gothic"/>
          <w:sz w:val="20"/>
        </w:rPr>
        <w:t xml:space="preserve"> рассчитывается для</w:t>
      </w:r>
      <w:r w:rsidR="00963B55" w:rsidRPr="00D45608">
        <w:rPr>
          <w:rFonts w:ascii="Century Gothic" w:hAnsi="Century Gothic"/>
          <w:sz w:val="20"/>
        </w:rPr>
        <w:t>:</w:t>
      </w:r>
    </w:p>
    <w:p w:rsidR="00D97F78" w:rsidRPr="00D45608" w:rsidRDefault="00B4589E" w:rsidP="002C2006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76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п</w:t>
      </w:r>
      <w:r w:rsidRPr="00D45608">
        <w:rPr>
          <w:rFonts w:ascii="Century Gothic" w:hAnsi="Century Gothic"/>
          <w:sz w:val="20"/>
        </w:rPr>
        <w:t xml:space="preserve">ортфеля </w:t>
      </w:r>
      <w:r w:rsidR="00D97F78" w:rsidRPr="00D45608">
        <w:rPr>
          <w:rFonts w:ascii="Century Gothic" w:hAnsi="Century Gothic"/>
          <w:sz w:val="20"/>
        </w:rPr>
        <w:t>п</w:t>
      </w:r>
      <w:r w:rsidR="002C2006" w:rsidRPr="00D45608">
        <w:rPr>
          <w:rFonts w:ascii="Century Gothic" w:hAnsi="Century Gothic"/>
          <w:sz w:val="20"/>
        </w:rPr>
        <w:t>енсионных накоплений, не включенных в резервы</w:t>
      </w:r>
      <w:r w:rsidR="00963B55" w:rsidRPr="00D45608">
        <w:rPr>
          <w:rFonts w:ascii="Century Gothic" w:hAnsi="Century Gothic"/>
          <w:sz w:val="20"/>
        </w:rPr>
        <w:t>;</w:t>
      </w:r>
    </w:p>
    <w:p w:rsidR="00D97F78" w:rsidRPr="00D45608" w:rsidRDefault="00076170" w:rsidP="002C2006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764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портфел</w:t>
      </w:r>
      <w:r w:rsidR="00D97F78" w:rsidRPr="00D45608">
        <w:rPr>
          <w:rFonts w:ascii="Century Gothic" w:hAnsi="Century Gothic"/>
          <w:sz w:val="20"/>
        </w:rPr>
        <w:t>я</w:t>
      </w:r>
      <w:r w:rsidRPr="00D45608">
        <w:rPr>
          <w:rFonts w:ascii="Century Gothic" w:hAnsi="Century Gothic"/>
          <w:sz w:val="20"/>
        </w:rPr>
        <w:t xml:space="preserve"> выплатного резерва</w:t>
      </w:r>
      <w:r w:rsidR="00963B55" w:rsidRPr="00D45608">
        <w:rPr>
          <w:rFonts w:ascii="Century Gothic" w:hAnsi="Century Gothic"/>
          <w:sz w:val="20"/>
        </w:rPr>
        <w:t>;</w:t>
      </w:r>
    </w:p>
    <w:p w:rsidR="00B4589E" w:rsidRDefault="00D97F78" w:rsidP="002C2006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764"/>
        <w:jc w:val="both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портфеля</w:t>
      </w:r>
      <w:r w:rsidR="00076170" w:rsidRPr="00D45608">
        <w:rPr>
          <w:rFonts w:ascii="Century Gothic" w:hAnsi="Century Gothic"/>
          <w:sz w:val="20"/>
        </w:rPr>
        <w:t xml:space="preserve"> резерва срочных пенсионных выплат</w:t>
      </w:r>
      <w:r w:rsidR="00B4589E">
        <w:rPr>
          <w:rFonts w:ascii="Century Gothic" w:hAnsi="Century Gothic"/>
          <w:sz w:val="20"/>
        </w:rPr>
        <w:t>;</w:t>
      </w:r>
    </w:p>
    <w:p w:rsidR="00076170" w:rsidRPr="00D45608" w:rsidRDefault="00B4589E" w:rsidP="002C2006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176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портфеля средств РОПС</w:t>
      </w:r>
      <w:r w:rsidR="00076170" w:rsidRPr="00D45608">
        <w:rPr>
          <w:rFonts w:ascii="Century Gothic" w:hAnsi="Century Gothic"/>
          <w:sz w:val="20"/>
        </w:rPr>
        <w:t>.</w:t>
      </w:r>
    </w:p>
    <w:p w:rsidR="00A048B4" w:rsidRDefault="00B4589E">
      <w:pPr>
        <w:tabs>
          <w:tab w:val="left" w:pos="851"/>
        </w:tabs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Из портфеля средств</w:t>
      </w:r>
      <w:r w:rsidR="00D97F78" w:rsidRPr="00D45608">
        <w:rPr>
          <w:rFonts w:ascii="Century Gothic" w:hAnsi="Century Gothic"/>
          <w:sz w:val="20"/>
        </w:rPr>
        <w:t xml:space="preserve"> РОПС </w:t>
      </w:r>
      <w:r w:rsidRPr="00D45608">
        <w:rPr>
          <w:rFonts w:ascii="Century Gothic" w:hAnsi="Century Gothic"/>
          <w:sz w:val="20"/>
        </w:rPr>
        <w:t>Постоянно</w:t>
      </w:r>
      <w:r>
        <w:rPr>
          <w:rFonts w:ascii="Century Gothic" w:hAnsi="Century Gothic"/>
          <w:sz w:val="20"/>
        </w:rPr>
        <w:t>е</w:t>
      </w:r>
      <w:r w:rsidRPr="00D45608">
        <w:rPr>
          <w:rFonts w:ascii="Century Gothic" w:hAnsi="Century Gothic"/>
          <w:sz w:val="20"/>
        </w:rPr>
        <w:t xml:space="preserve"> вознаграждени</w:t>
      </w:r>
      <w:r>
        <w:rPr>
          <w:rFonts w:ascii="Century Gothic" w:hAnsi="Century Gothic"/>
          <w:sz w:val="20"/>
        </w:rPr>
        <w:t>е</w:t>
      </w:r>
      <w:r w:rsidRPr="00D45608">
        <w:rPr>
          <w:rFonts w:ascii="Century Gothic" w:hAnsi="Century Gothic"/>
          <w:sz w:val="20"/>
        </w:rPr>
        <w:t xml:space="preserve"> </w:t>
      </w:r>
      <w:r w:rsidR="00D97F78" w:rsidRPr="00D45608">
        <w:rPr>
          <w:rFonts w:ascii="Century Gothic" w:hAnsi="Century Gothic"/>
          <w:sz w:val="20"/>
        </w:rPr>
        <w:t xml:space="preserve">не </w:t>
      </w:r>
      <w:r>
        <w:rPr>
          <w:rFonts w:ascii="Century Gothic" w:hAnsi="Century Gothic"/>
          <w:sz w:val="20"/>
        </w:rPr>
        <w:t>удерживается</w:t>
      </w:r>
      <w:r w:rsidRPr="00D45608">
        <w:rPr>
          <w:rFonts w:ascii="Century Gothic" w:hAnsi="Century Gothic"/>
          <w:sz w:val="20"/>
        </w:rPr>
        <w:t xml:space="preserve"> </w:t>
      </w:r>
      <w:r w:rsidR="00D97F78" w:rsidRPr="00D45608">
        <w:rPr>
          <w:rFonts w:ascii="Century Gothic" w:hAnsi="Century Gothic"/>
          <w:sz w:val="20"/>
        </w:rPr>
        <w:t>в силу ограничений ст.</w:t>
      </w:r>
      <w:r w:rsidR="00F52FA6">
        <w:rPr>
          <w:rFonts w:ascii="Century Gothic" w:hAnsi="Century Gothic"/>
          <w:sz w:val="20"/>
        </w:rPr>
        <w:t> </w:t>
      </w:r>
      <w:r w:rsidR="00D97F78" w:rsidRPr="00D45608">
        <w:rPr>
          <w:rFonts w:ascii="Century Gothic" w:hAnsi="Century Gothic"/>
          <w:sz w:val="20"/>
        </w:rPr>
        <w:t xml:space="preserve">20.1 </w:t>
      </w:r>
      <w:r w:rsidR="00F52FA6">
        <w:rPr>
          <w:rFonts w:ascii="Century Gothic" w:hAnsi="Century Gothic"/>
          <w:sz w:val="20"/>
        </w:rPr>
        <w:t>закона</w:t>
      </w:r>
      <w:r w:rsidR="00F52FA6" w:rsidRPr="00D45608">
        <w:rPr>
          <w:rFonts w:ascii="Century Gothic" w:hAnsi="Century Gothic"/>
          <w:sz w:val="20"/>
        </w:rPr>
        <w:t xml:space="preserve"> №</w:t>
      </w:r>
      <w:r w:rsidR="00F52FA6">
        <w:rPr>
          <w:rFonts w:ascii="Century Gothic" w:hAnsi="Century Gothic"/>
          <w:sz w:val="20"/>
        </w:rPr>
        <w:t> </w:t>
      </w:r>
      <w:r w:rsidR="00D97F78" w:rsidRPr="00D45608">
        <w:rPr>
          <w:rFonts w:ascii="Century Gothic" w:hAnsi="Century Gothic"/>
          <w:sz w:val="20"/>
        </w:rPr>
        <w:t>75-ФЗ</w:t>
      </w:r>
      <w:r w:rsidR="009843F7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Постоянное </w:t>
      </w:r>
      <w:proofErr w:type="gramStart"/>
      <w:r>
        <w:rPr>
          <w:rFonts w:ascii="Century Gothic" w:hAnsi="Century Gothic"/>
          <w:sz w:val="20"/>
        </w:rPr>
        <w:t>вознаграждение</w:t>
      </w:r>
      <w:proofErr w:type="gramEnd"/>
      <w:r>
        <w:rPr>
          <w:rFonts w:ascii="Century Gothic" w:hAnsi="Century Gothic"/>
          <w:sz w:val="20"/>
        </w:rPr>
        <w:t xml:space="preserve"> рассчитанное по портфелю средств РОПС удерживается из других портфелей</w:t>
      </w:r>
      <w:r w:rsidR="00AB27CE">
        <w:rPr>
          <w:rFonts w:ascii="Century Gothic" w:hAnsi="Century Gothic"/>
          <w:sz w:val="20"/>
        </w:rPr>
        <w:t>,</w:t>
      </w:r>
      <w:r w:rsidR="00AB27CE" w:rsidRPr="006318D5">
        <w:rPr>
          <w:rFonts w:ascii="Century Gothic" w:hAnsi="Century Gothic"/>
          <w:sz w:val="20"/>
        </w:rPr>
        <w:t xml:space="preserve"> с учетом требований законодательства,</w:t>
      </w:r>
      <w:r>
        <w:rPr>
          <w:rFonts w:ascii="Century Gothic" w:hAnsi="Century Gothic"/>
          <w:sz w:val="20"/>
        </w:rPr>
        <w:t xml:space="preserve"> по усмотрению Фонда.</w:t>
      </w:r>
    </w:p>
    <w:p w:rsidR="00217965" w:rsidRPr="00D45608" w:rsidRDefault="00217965">
      <w:pPr>
        <w:tabs>
          <w:tab w:val="left" w:pos="851"/>
        </w:tabs>
        <w:spacing w:after="0"/>
        <w:jc w:val="both"/>
        <w:rPr>
          <w:rFonts w:ascii="Century Gothic" w:hAnsi="Century Gothic"/>
          <w:sz w:val="20"/>
        </w:rPr>
      </w:pPr>
    </w:p>
    <w:p w:rsidR="00081FE5" w:rsidRDefault="00081FE5" w:rsidP="00D456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Century Gothic" w:hAnsi="Century Gothic"/>
          <w:sz w:val="20"/>
        </w:rPr>
      </w:pPr>
      <w:proofErr w:type="gramStart"/>
      <w:r w:rsidRPr="00D45608">
        <w:rPr>
          <w:rFonts w:ascii="Century Gothic" w:hAnsi="Century Gothic"/>
          <w:sz w:val="20"/>
        </w:rPr>
        <w:t>При определении размера постоянной части вознаграждения</w:t>
      </w:r>
      <w:r w:rsidR="00BD02D9">
        <w:rPr>
          <w:rFonts w:ascii="Century Gothic" w:hAnsi="Century Gothic"/>
          <w:sz w:val="20"/>
        </w:rPr>
        <w:t xml:space="preserve"> фонда</w:t>
      </w:r>
      <w:r w:rsidRPr="00D45608">
        <w:rPr>
          <w:rFonts w:ascii="Century Gothic" w:hAnsi="Century Gothic"/>
          <w:sz w:val="20"/>
        </w:rPr>
        <w:t xml:space="preserve"> по итогам отчетного года следует учитывать ежегодные отчисления в резерв по обязательному пенсионному страхованию в размере, определенном в соответствии с п.</w:t>
      </w:r>
      <w:r w:rsidR="00BD02D9">
        <w:rPr>
          <w:rFonts w:ascii="Century Gothic" w:hAnsi="Century Gothic"/>
          <w:sz w:val="20"/>
        </w:rPr>
        <w:t> </w:t>
      </w:r>
      <w:r w:rsidRPr="00D45608">
        <w:rPr>
          <w:rFonts w:ascii="Century Gothic" w:hAnsi="Century Gothic"/>
          <w:sz w:val="20"/>
        </w:rPr>
        <w:t>4 ст</w:t>
      </w:r>
      <w:r w:rsidR="00BD02D9" w:rsidRPr="00D45608">
        <w:rPr>
          <w:rFonts w:ascii="Century Gothic" w:hAnsi="Century Gothic"/>
          <w:sz w:val="20"/>
        </w:rPr>
        <w:t>.</w:t>
      </w:r>
      <w:r w:rsidR="00BD02D9">
        <w:rPr>
          <w:rFonts w:ascii="Century Gothic" w:hAnsi="Century Gothic"/>
          <w:sz w:val="20"/>
        </w:rPr>
        <w:t> </w:t>
      </w:r>
      <w:r w:rsidRPr="00D45608">
        <w:rPr>
          <w:rFonts w:ascii="Century Gothic" w:hAnsi="Century Gothic"/>
          <w:sz w:val="20"/>
        </w:rPr>
        <w:t>20.1</w:t>
      </w:r>
      <w:r w:rsidR="00BD02D9">
        <w:rPr>
          <w:rFonts w:ascii="Century Gothic" w:hAnsi="Century Gothic"/>
          <w:sz w:val="20"/>
        </w:rPr>
        <w:t xml:space="preserve"> закона № </w:t>
      </w:r>
      <w:r w:rsidRPr="00D45608">
        <w:rPr>
          <w:rFonts w:ascii="Century Gothic" w:hAnsi="Century Gothic"/>
          <w:sz w:val="20"/>
        </w:rPr>
        <w:t>75-ФЗ и Указанием Банка России №</w:t>
      </w:r>
      <w:r w:rsidR="00BD02D9">
        <w:rPr>
          <w:rFonts w:ascii="Century Gothic" w:hAnsi="Century Gothic"/>
          <w:sz w:val="20"/>
        </w:rPr>
        <w:t> </w:t>
      </w:r>
      <w:r w:rsidRPr="00D45608">
        <w:rPr>
          <w:rFonts w:ascii="Century Gothic" w:hAnsi="Century Gothic"/>
          <w:sz w:val="20"/>
        </w:rPr>
        <w:t xml:space="preserve">3416-У от 07.10.2014 г. </w:t>
      </w:r>
      <w:r w:rsidR="00C102C2" w:rsidRPr="00D45608">
        <w:rPr>
          <w:rFonts w:ascii="Century Gothic" w:hAnsi="Century Gothic"/>
          <w:sz w:val="20"/>
        </w:rPr>
        <w:t>Д</w:t>
      </w:r>
      <w:r w:rsidRPr="00D45608">
        <w:rPr>
          <w:rFonts w:ascii="Century Gothic" w:hAnsi="Century Gothic"/>
          <w:sz w:val="20"/>
        </w:rPr>
        <w:t xml:space="preserve">оход от инвестирования резерва по обязательному пенсионному страхованию не </w:t>
      </w:r>
      <w:r w:rsidR="00C102C2" w:rsidRPr="00D45608">
        <w:rPr>
          <w:rFonts w:ascii="Century Gothic" w:hAnsi="Century Gothic"/>
          <w:sz w:val="20"/>
        </w:rPr>
        <w:t>уменьшает расчетную величину ежегодного отчисления в РОПС для целей расчета</w:t>
      </w:r>
      <w:proofErr w:type="gramEnd"/>
      <w:r w:rsidRPr="00D45608">
        <w:rPr>
          <w:rFonts w:ascii="Century Gothic" w:hAnsi="Century Gothic"/>
          <w:sz w:val="20"/>
        </w:rPr>
        <w:t xml:space="preserve"> </w:t>
      </w:r>
      <w:r w:rsidR="00C102C2" w:rsidRPr="00D45608">
        <w:rPr>
          <w:rFonts w:ascii="Century Gothic" w:hAnsi="Century Gothic"/>
          <w:sz w:val="20"/>
        </w:rPr>
        <w:t xml:space="preserve">постоянной части вознаграждения </w:t>
      </w:r>
      <w:r w:rsidR="00C102C2" w:rsidRPr="00D45608">
        <w:rPr>
          <w:rFonts w:ascii="Century Gothic" w:hAnsi="Century Gothic"/>
          <w:sz w:val="20"/>
          <w:lang w:val="en-US"/>
        </w:rPr>
        <w:t>S</w:t>
      </w:r>
      <w:r w:rsidR="00C102C2" w:rsidRPr="00D45608">
        <w:rPr>
          <w:rFonts w:ascii="Century Gothic" w:hAnsi="Century Gothic"/>
          <w:sz w:val="20"/>
        </w:rPr>
        <w:t>.</w:t>
      </w:r>
      <w:r w:rsidR="006E5F41">
        <w:rPr>
          <w:rFonts w:ascii="Century Gothic" w:hAnsi="Century Gothic"/>
          <w:sz w:val="20"/>
        </w:rPr>
        <w:t xml:space="preserve"> </w:t>
      </w:r>
      <w:r w:rsidR="009843F7">
        <w:rPr>
          <w:rFonts w:ascii="Century Gothic" w:hAnsi="Century Gothic"/>
          <w:sz w:val="20"/>
        </w:rPr>
        <w:t>Размер е</w:t>
      </w:r>
      <w:r w:rsidR="009843F7" w:rsidRPr="00D45608">
        <w:rPr>
          <w:rFonts w:ascii="Century Gothic" w:hAnsi="Century Gothic"/>
          <w:sz w:val="20"/>
        </w:rPr>
        <w:t>жегодн</w:t>
      </w:r>
      <w:r w:rsidR="009843F7">
        <w:rPr>
          <w:rFonts w:ascii="Century Gothic" w:hAnsi="Century Gothic"/>
          <w:sz w:val="20"/>
        </w:rPr>
        <w:t>ых</w:t>
      </w:r>
      <w:r w:rsidR="009843F7" w:rsidRPr="00D45608">
        <w:rPr>
          <w:rFonts w:ascii="Century Gothic" w:hAnsi="Century Gothic"/>
          <w:sz w:val="20"/>
        </w:rPr>
        <w:t xml:space="preserve"> отчислени</w:t>
      </w:r>
      <w:r w:rsidR="009843F7">
        <w:rPr>
          <w:rFonts w:ascii="Century Gothic" w:hAnsi="Century Gothic"/>
          <w:sz w:val="20"/>
        </w:rPr>
        <w:t>й</w:t>
      </w:r>
      <w:r w:rsidR="009843F7" w:rsidRPr="00D45608">
        <w:rPr>
          <w:rFonts w:ascii="Century Gothic" w:hAnsi="Century Gothic"/>
          <w:sz w:val="20"/>
        </w:rPr>
        <w:t xml:space="preserve"> в РОПС </w:t>
      </w:r>
      <w:r w:rsidR="009843F7">
        <w:rPr>
          <w:rFonts w:ascii="Century Gothic" w:hAnsi="Century Gothic"/>
          <w:sz w:val="20"/>
        </w:rPr>
        <w:t>определяется</w:t>
      </w:r>
      <w:r w:rsidR="006E5F41">
        <w:rPr>
          <w:rFonts w:ascii="Century Gothic" w:hAnsi="Century Gothic"/>
          <w:sz w:val="20"/>
        </w:rPr>
        <w:t xml:space="preserve"> в соответствии с требованиями указанными в п. 3 и 4 ст. 20.1 закона № 75-ФЗ.</w:t>
      </w:r>
    </w:p>
    <w:p w:rsidR="00C102C2" w:rsidRPr="00D45608" w:rsidRDefault="00081FE5" w:rsidP="003D4E8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Century Gothic"/>
          <w:sz w:val="20"/>
          <w:szCs w:val="20"/>
        </w:rPr>
      </w:pPr>
      <w:r w:rsidRPr="00D45608">
        <w:rPr>
          <w:rFonts w:ascii="Century Gothic" w:hAnsi="Century Gothic"/>
          <w:sz w:val="20"/>
        </w:rPr>
        <w:t>При определении размера постоянной части вознаграждения</w:t>
      </w:r>
      <w:r w:rsidR="00BD02D9">
        <w:rPr>
          <w:rFonts w:ascii="Century Gothic" w:hAnsi="Century Gothic"/>
          <w:sz w:val="20"/>
        </w:rPr>
        <w:t xml:space="preserve"> фонда</w:t>
      </w:r>
      <w:r w:rsidRPr="00D45608">
        <w:rPr>
          <w:rFonts w:ascii="Century Gothic" w:hAnsi="Century Gothic"/>
          <w:sz w:val="20"/>
        </w:rPr>
        <w:t xml:space="preserve"> по итогам отчетного года </w:t>
      </w:r>
      <w:r w:rsidR="00C102C2" w:rsidRPr="00D45608">
        <w:rPr>
          <w:rFonts w:ascii="Century Gothic" w:hAnsi="Century Gothic"/>
          <w:sz w:val="20"/>
        </w:rPr>
        <w:t xml:space="preserve">необходимо </w:t>
      </w:r>
      <w:r w:rsidRPr="00D45608">
        <w:rPr>
          <w:rFonts w:ascii="Century Gothic" w:hAnsi="Century Gothic"/>
          <w:sz w:val="20"/>
        </w:rPr>
        <w:t>учитывать размер гарантийных взносов в Агентство по страхованию вкладов</w:t>
      </w:r>
      <w:r w:rsidR="00C102C2" w:rsidRPr="00D45608">
        <w:rPr>
          <w:rFonts w:ascii="Century Gothic" w:hAnsi="Century Gothic"/>
          <w:sz w:val="20"/>
        </w:rPr>
        <w:t xml:space="preserve">, определенных в соответствии </w:t>
      </w:r>
      <w:proofErr w:type="gramStart"/>
      <w:r w:rsidR="00C102C2" w:rsidRPr="00D45608">
        <w:rPr>
          <w:rFonts w:ascii="Century Gothic" w:hAnsi="Century Gothic"/>
          <w:sz w:val="20"/>
        </w:rPr>
        <w:t>со</w:t>
      </w:r>
      <w:proofErr w:type="gramEnd"/>
      <w:r w:rsidR="00C102C2" w:rsidRPr="00D45608">
        <w:rPr>
          <w:rFonts w:ascii="Century Gothic" w:hAnsi="Century Gothic"/>
          <w:sz w:val="20"/>
        </w:rPr>
        <w:t xml:space="preserve"> </w:t>
      </w:r>
      <w:hyperlink r:id="rId9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ч. 1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0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3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1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4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2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5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3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7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, </w:t>
      </w:r>
      <w:hyperlink r:id="rId14" w:history="1">
        <w:r w:rsidR="00C102C2" w:rsidRPr="00D45608">
          <w:rPr>
            <w:rFonts w:ascii="Century Gothic" w:hAnsi="Century Gothic" w:cs="Century Gothic"/>
            <w:sz w:val="20"/>
            <w:szCs w:val="20"/>
          </w:rPr>
          <w:t>9 ст. 15</w:t>
        </w:r>
      </w:hyperlink>
      <w:r w:rsidR="00C102C2" w:rsidRPr="00D45608">
        <w:rPr>
          <w:rFonts w:ascii="Century Gothic" w:hAnsi="Century Gothic" w:cs="Century Gothic"/>
          <w:sz w:val="20"/>
          <w:szCs w:val="20"/>
        </w:rPr>
        <w:t xml:space="preserve"> Федерального закона от 28 декабря 2013 г. </w:t>
      </w:r>
      <w:r w:rsidR="00BD02D9">
        <w:rPr>
          <w:rFonts w:ascii="Century Gothic" w:hAnsi="Century Gothic" w:cs="Century Gothic"/>
          <w:sz w:val="20"/>
          <w:szCs w:val="20"/>
        </w:rPr>
        <w:t>№ </w:t>
      </w:r>
      <w:r w:rsidR="00C102C2" w:rsidRPr="00D45608">
        <w:rPr>
          <w:rFonts w:ascii="Century Gothic" w:hAnsi="Century Gothic" w:cs="Century Gothic"/>
          <w:sz w:val="20"/>
          <w:szCs w:val="20"/>
        </w:rPr>
        <w:t xml:space="preserve">422-ФЗ </w:t>
      </w:r>
      <w:r w:rsidR="005E5B76">
        <w:rPr>
          <w:rFonts w:ascii="Century Gothic" w:hAnsi="Century Gothic" w:cs="Century Gothic"/>
          <w:sz w:val="20"/>
          <w:szCs w:val="20"/>
        </w:rPr>
        <w:t>«</w:t>
      </w:r>
      <w:r w:rsidR="00C102C2" w:rsidRPr="00D45608">
        <w:rPr>
          <w:rFonts w:ascii="Century Gothic" w:hAnsi="Century Gothic" w:cs="Century Gothic"/>
          <w:sz w:val="20"/>
          <w:szCs w:val="20"/>
        </w:rPr>
        <w:t xml:space="preserve">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</w:t>
      </w:r>
      <w:proofErr w:type="gramStart"/>
      <w:r w:rsidR="00C102C2" w:rsidRPr="00D45608">
        <w:rPr>
          <w:rFonts w:ascii="Century Gothic" w:hAnsi="Century Gothic" w:cs="Century Gothic"/>
          <w:sz w:val="20"/>
          <w:szCs w:val="20"/>
        </w:rPr>
        <w:t>установлении</w:t>
      </w:r>
      <w:proofErr w:type="gramEnd"/>
      <w:r w:rsidR="00C102C2" w:rsidRPr="00D45608">
        <w:rPr>
          <w:rFonts w:ascii="Century Gothic" w:hAnsi="Century Gothic" w:cs="Century Gothic"/>
          <w:sz w:val="20"/>
          <w:szCs w:val="20"/>
        </w:rPr>
        <w:t xml:space="preserve"> и осуществлении выплат за счет средств пенсионных накоплений</w:t>
      </w:r>
      <w:r w:rsidR="00BD02D9">
        <w:rPr>
          <w:rFonts w:ascii="Century Gothic" w:hAnsi="Century Gothic" w:cs="Century Gothic"/>
          <w:sz w:val="20"/>
          <w:szCs w:val="20"/>
        </w:rPr>
        <w:t>»</w:t>
      </w:r>
      <w:r w:rsidR="00BD02D9" w:rsidRPr="00D45608">
        <w:rPr>
          <w:rFonts w:ascii="Century Gothic" w:hAnsi="Century Gothic" w:cs="Century Gothic"/>
          <w:sz w:val="20"/>
          <w:szCs w:val="20"/>
        </w:rPr>
        <w:t>.</w:t>
      </w:r>
    </w:p>
    <w:p w:rsidR="00C102C2" w:rsidRDefault="00C102C2" w:rsidP="00C102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081FE5" w:rsidRPr="00C102C2" w:rsidRDefault="00D45608" w:rsidP="00CA3E07">
      <w:p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2. </w:t>
      </w:r>
      <w:r w:rsidR="00081FE5" w:rsidRPr="00C102C2">
        <w:rPr>
          <w:rFonts w:ascii="Century Gothic" w:hAnsi="Century Gothic"/>
          <w:b/>
          <w:sz w:val="20"/>
        </w:rPr>
        <w:t xml:space="preserve">Определение </w:t>
      </w:r>
      <w:r w:rsidR="00CA3E07" w:rsidRPr="00C102C2">
        <w:rPr>
          <w:rFonts w:ascii="Century Gothic" w:hAnsi="Century Gothic"/>
          <w:b/>
          <w:sz w:val="20"/>
        </w:rPr>
        <w:t>размера переменной части вознаграждения</w:t>
      </w:r>
      <w:r w:rsidR="00BD02D9">
        <w:rPr>
          <w:rFonts w:ascii="Century Gothic" w:hAnsi="Century Gothic"/>
          <w:b/>
          <w:sz w:val="20"/>
        </w:rPr>
        <w:t xml:space="preserve"> фонда</w:t>
      </w:r>
      <w:r w:rsidR="009843F7">
        <w:rPr>
          <w:rFonts w:ascii="Century Gothic" w:hAnsi="Century Gothic"/>
          <w:b/>
          <w:sz w:val="20"/>
        </w:rPr>
        <w:t>.</w:t>
      </w:r>
    </w:p>
    <w:p w:rsidR="00CA3E07" w:rsidRPr="00C102C2" w:rsidRDefault="003E326F" w:rsidP="00CA3E07">
      <w:pPr>
        <w:spacing w:after="0"/>
        <w:jc w:val="both"/>
        <w:rPr>
          <w:rFonts w:ascii="Century Gothic" w:hAnsi="Century Gothic"/>
          <w:sz w:val="20"/>
        </w:rPr>
      </w:pPr>
      <w:r w:rsidRPr="00C102C2">
        <w:rPr>
          <w:rFonts w:ascii="Century Gothic" w:hAnsi="Century Gothic"/>
          <w:sz w:val="20"/>
        </w:rPr>
        <w:t>(п.</w:t>
      </w:r>
      <w:r w:rsidR="00BD02D9">
        <w:rPr>
          <w:rFonts w:ascii="Century Gothic" w:hAnsi="Century Gothic"/>
          <w:sz w:val="20"/>
        </w:rPr>
        <w:t> </w:t>
      </w:r>
      <w:r w:rsidRPr="00C102C2">
        <w:rPr>
          <w:rFonts w:ascii="Century Gothic" w:hAnsi="Century Gothic"/>
          <w:sz w:val="20"/>
        </w:rPr>
        <w:t>3</w:t>
      </w:r>
      <w:r w:rsidR="00CA3E07" w:rsidRPr="00C102C2">
        <w:rPr>
          <w:rFonts w:ascii="Century Gothic" w:hAnsi="Century Gothic"/>
          <w:sz w:val="20"/>
        </w:rPr>
        <w:t xml:space="preserve"> ст</w:t>
      </w:r>
      <w:r w:rsidR="00BD02D9" w:rsidRPr="00C102C2">
        <w:rPr>
          <w:rFonts w:ascii="Century Gothic" w:hAnsi="Century Gothic"/>
          <w:sz w:val="20"/>
        </w:rPr>
        <w:t>.</w:t>
      </w:r>
      <w:r w:rsidR="00BD02D9">
        <w:rPr>
          <w:rFonts w:ascii="Century Gothic" w:hAnsi="Century Gothic"/>
          <w:sz w:val="20"/>
        </w:rPr>
        <w:t> </w:t>
      </w:r>
      <w:r w:rsidR="00CA3E07" w:rsidRPr="00C102C2">
        <w:rPr>
          <w:rFonts w:ascii="Century Gothic" w:hAnsi="Century Gothic"/>
          <w:sz w:val="20"/>
        </w:rPr>
        <w:t>36.23 закона №</w:t>
      </w:r>
      <w:r w:rsidR="00BD02D9">
        <w:rPr>
          <w:rFonts w:ascii="Century Gothic" w:hAnsi="Century Gothic"/>
          <w:sz w:val="20"/>
        </w:rPr>
        <w:t> </w:t>
      </w:r>
      <w:r w:rsidR="00CA3E07" w:rsidRPr="00C102C2">
        <w:rPr>
          <w:rFonts w:ascii="Century Gothic" w:hAnsi="Century Gothic"/>
          <w:sz w:val="20"/>
        </w:rPr>
        <w:t>75-ФЗ)</w:t>
      </w:r>
    </w:p>
    <w:p w:rsidR="003E326F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2.1. </w:t>
      </w:r>
      <w:r w:rsidR="00010B73" w:rsidRPr="00C102C2">
        <w:rPr>
          <w:rFonts w:ascii="Century Gothic" w:hAnsi="Century Gothic"/>
          <w:sz w:val="20"/>
        </w:rPr>
        <w:t>Доход от инвестирования средств пенсионных накопл</w:t>
      </w:r>
      <w:r w:rsidR="00010B73" w:rsidRPr="00010B73">
        <w:rPr>
          <w:rFonts w:ascii="Century Gothic" w:hAnsi="Century Gothic"/>
          <w:sz w:val="20"/>
        </w:rPr>
        <w:t>е</w:t>
      </w:r>
      <w:r w:rsidR="00010B73" w:rsidRPr="00C102C2">
        <w:rPr>
          <w:rFonts w:ascii="Century Gothic" w:hAnsi="Century Gothic"/>
          <w:sz w:val="20"/>
        </w:rPr>
        <w:t>н</w:t>
      </w:r>
      <w:r w:rsidR="00010B73" w:rsidRPr="00010B73">
        <w:rPr>
          <w:rFonts w:ascii="Century Gothic" w:hAnsi="Century Gothic"/>
          <w:sz w:val="20"/>
        </w:rPr>
        <w:t>ий, рассчитанный в соответствии с требованиями Указания Банка России</w:t>
      </w:r>
      <w:r w:rsidR="00010B73">
        <w:rPr>
          <w:rFonts w:ascii="Century Gothic" w:hAnsi="Century Gothic"/>
          <w:sz w:val="20"/>
        </w:rPr>
        <w:t xml:space="preserve"> №</w:t>
      </w:r>
      <w:r w:rsidR="00BD02D9">
        <w:rPr>
          <w:rFonts w:ascii="Century Gothic" w:hAnsi="Century Gothic"/>
          <w:sz w:val="20"/>
        </w:rPr>
        <w:t> </w:t>
      </w:r>
      <w:r w:rsidR="00010B73">
        <w:rPr>
          <w:rFonts w:ascii="Century Gothic" w:hAnsi="Century Gothic"/>
          <w:sz w:val="20"/>
        </w:rPr>
        <w:t>4881-У от 23.08.</w:t>
      </w:r>
      <w:r w:rsidR="00BD02D9">
        <w:rPr>
          <w:rFonts w:ascii="Century Gothic" w:hAnsi="Century Gothic"/>
          <w:sz w:val="20"/>
        </w:rPr>
        <w:t>2018 </w:t>
      </w:r>
      <w:r w:rsidR="00010B73">
        <w:rPr>
          <w:rFonts w:ascii="Century Gothic" w:hAnsi="Century Gothic"/>
          <w:sz w:val="20"/>
        </w:rPr>
        <w:t>г., должен соответствовать положительному результату инвестирования средств пенсионных накоплений по данным бухгалтерского учета фонда за отчетный год.</w:t>
      </w:r>
    </w:p>
    <w:p w:rsidR="00081FE5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2.2. </w:t>
      </w:r>
      <w:r w:rsidR="00010B73" w:rsidRPr="00010B73">
        <w:rPr>
          <w:rFonts w:ascii="Century Gothic" w:hAnsi="Century Gothic"/>
          <w:sz w:val="20"/>
        </w:rPr>
        <w:t xml:space="preserve">В расчет стоимости активов, составляющих пенсионные накопления, включаются, в том числе, </w:t>
      </w:r>
      <w:r w:rsidR="00010B73">
        <w:rPr>
          <w:rFonts w:ascii="Century Gothic" w:hAnsi="Century Gothic"/>
          <w:sz w:val="20"/>
        </w:rPr>
        <w:t>остатки</w:t>
      </w:r>
      <w:r w:rsidR="00010B73" w:rsidRPr="00010B73">
        <w:rPr>
          <w:rFonts w:ascii="Century Gothic" w:hAnsi="Century Gothic"/>
          <w:sz w:val="20"/>
        </w:rPr>
        <w:t xml:space="preserve"> денежных средств на счете (счетах) фонда, предназначенном для операций со средствами пенсионных накоплений</w:t>
      </w:r>
      <w:r w:rsidR="00010B73">
        <w:rPr>
          <w:rFonts w:ascii="Century Gothic" w:hAnsi="Century Gothic"/>
          <w:sz w:val="20"/>
        </w:rPr>
        <w:t xml:space="preserve"> и величина дебиторской/кредиторской задолженности по пенсионным выплатам.</w:t>
      </w:r>
    </w:p>
    <w:p w:rsidR="00010B73" w:rsidRPr="0001164B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2.3. </w:t>
      </w:r>
      <w:r w:rsidR="00010B73">
        <w:rPr>
          <w:rFonts w:ascii="Century Gothic" w:hAnsi="Century Gothic"/>
          <w:sz w:val="20"/>
        </w:rPr>
        <w:t xml:space="preserve">При расчете дохода за 2018 год </w:t>
      </w:r>
      <w:r w:rsidR="0001164B">
        <w:rPr>
          <w:rFonts w:ascii="Century Gothic" w:hAnsi="Century Gothic"/>
          <w:sz w:val="20"/>
        </w:rPr>
        <w:t xml:space="preserve">погашение кредиторской задолженности по выплате вознаграждения управляющим компаниями и специализированному </w:t>
      </w:r>
      <w:r w:rsidR="00BD02D9">
        <w:rPr>
          <w:rFonts w:ascii="Century Gothic" w:hAnsi="Century Gothic"/>
          <w:sz w:val="20"/>
        </w:rPr>
        <w:t>депозитарию</w:t>
      </w:r>
      <w:r w:rsidR="00BD02D9">
        <w:rPr>
          <w:rFonts w:ascii="Century Gothic" w:hAnsi="Century Gothic"/>
          <w:sz w:val="20"/>
        </w:rPr>
        <w:br/>
      </w:r>
      <w:r w:rsidR="0001164B">
        <w:rPr>
          <w:rFonts w:ascii="Century Gothic" w:hAnsi="Century Gothic"/>
          <w:sz w:val="20"/>
        </w:rPr>
        <w:t xml:space="preserve">за 2017 год, а также направление части дохода от инвестирования 2017 года в состав собственных средств отражаются в составе показателя </w:t>
      </w:r>
      <w:proofErr w:type="spellStart"/>
      <w:r w:rsidR="0001164B">
        <w:rPr>
          <w:rFonts w:ascii="Century Gothic" w:hAnsi="Century Gothic"/>
          <w:sz w:val="20"/>
          <w:lang w:val="en-US"/>
        </w:rPr>
        <w:t>F</w:t>
      </w:r>
      <w:r w:rsidR="0001164B" w:rsidRPr="0001164B">
        <w:rPr>
          <w:rFonts w:ascii="Century Gothic" w:hAnsi="Century Gothic"/>
          <w:sz w:val="20"/>
          <w:vertAlign w:val="superscript"/>
          <w:lang w:val="en-US"/>
        </w:rPr>
        <w:t>k</w:t>
      </w:r>
      <w:proofErr w:type="spellEnd"/>
      <w:r w:rsidR="0001164B" w:rsidRPr="0001164B">
        <w:rPr>
          <w:rFonts w:ascii="Century Gothic" w:hAnsi="Century Gothic"/>
          <w:sz w:val="20"/>
        </w:rPr>
        <w:t>.</w:t>
      </w:r>
    </w:p>
    <w:p w:rsidR="0001164B" w:rsidRDefault="00D45608" w:rsidP="00D45608">
      <w:pPr>
        <w:pStyle w:val="a3"/>
        <w:spacing w:after="0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2.4. </w:t>
      </w:r>
      <w:r w:rsidR="0001164B">
        <w:rPr>
          <w:rFonts w:ascii="Century Gothic" w:hAnsi="Century Gothic"/>
          <w:sz w:val="20"/>
        </w:rPr>
        <w:t>Предельный размер переменной части вознаграждения</w:t>
      </w:r>
      <w:r w:rsidR="00BD02D9">
        <w:rPr>
          <w:rFonts w:ascii="Century Gothic" w:hAnsi="Century Gothic"/>
          <w:sz w:val="20"/>
        </w:rPr>
        <w:t xml:space="preserve"> фонда</w:t>
      </w:r>
      <w:r w:rsidR="0001164B">
        <w:rPr>
          <w:rFonts w:ascii="Century Gothic" w:hAnsi="Century Gothic"/>
          <w:sz w:val="20"/>
        </w:rPr>
        <w:t xml:space="preserve"> по всем средствам пенсионных накоплений, в том числе средствам пенсионных накоплений, включенным в резервы, не должен превышать 15% от дохода, рассчитанного в соответствии </w:t>
      </w:r>
      <w:r w:rsidR="008270DE">
        <w:rPr>
          <w:rFonts w:ascii="Century Gothic" w:hAnsi="Century Gothic"/>
          <w:sz w:val="20"/>
        </w:rPr>
        <w:t>с Указанием</w:t>
      </w:r>
      <w:r w:rsidR="0001164B" w:rsidRPr="00010B73">
        <w:rPr>
          <w:rFonts w:ascii="Century Gothic" w:hAnsi="Century Gothic"/>
          <w:sz w:val="20"/>
        </w:rPr>
        <w:t xml:space="preserve"> Банка России</w:t>
      </w:r>
      <w:r w:rsidR="0001164B">
        <w:rPr>
          <w:rFonts w:ascii="Century Gothic" w:hAnsi="Century Gothic"/>
          <w:sz w:val="20"/>
        </w:rPr>
        <w:t xml:space="preserve"> №</w:t>
      </w:r>
      <w:r w:rsidR="00BD02D9">
        <w:rPr>
          <w:rFonts w:ascii="Century Gothic" w:hAnsi="Century Gothic"/>
          <w:sz w:val="20"/>
        </w:rPr>
        <w:t> </w:t>
      </w:r>
      <w:r w:rsidR="0001164B">
        <w:rPr>
          <w:rFonts w:ascii="Century Gothic" w:hAnsi="Century Gothic"/>
          <w:sz w:val="20"/>
        </w:rPr>
        <w:t>4881-У от 23.08.2018 г.</w:t>
      </w:r>
    </w:p>
    <w:p w:rsidR="0001164B" w:rsidRPr="00D45608" w:rsidRDefault="00D45608" w:rsidP="00D45608">
      <w:pPr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2.5. </w:t>
      </w:r>
      <w:r w:rsidR="0001164B" w:rsidRPr="00D45608">
        <w:rPr>
          <w:rFonts w:ascii="Century Gothic" w:hAnsi="Century Gothic"/>
          <w:sz w:val="20"/>
        </w:rPr>
        <w:t>Переменная часть вознаграждения</w:t>
      </w:r>
      <w:r w:rsidR="00BD02D9">
        <w:rPr>
          <w:rFonts w:ascii="Century Gothic" w:hAnsi="Century Gothic"/>
          <w:sz w:val="20"/>
        </w:rPr>
        <w:t xml:space="preserve"> фонда</w:t>
      </w:r>
      <w:r w:rsidR="0001164B" w:rsidRPr="00D45608">
        <w:rPr>
          <w:rFonts w:ascii="Century Gothic" w:hAnsi="Century Gothic"/>
          <w:sz w:val="20"/>
        </w:rPr>
        <w:t xml:space="preserve"> рассчитывается отдельно для средств пенсионных накоплений, не включенных в резервы, средств выплатного резерва, средств резерва срочных пенсионных выплат и средств резерва по обязат</w:t>
      </w:r>
      <w:r w:rsidR="00062C21" w:rsidRPr="00D45608">
        <w:rPr>
          <w:rFonts w:ascii="Century Gothic" w:hAnsi="Century Gothic"/>
          <w:sz w:val="20"/>
        </w:rPr>
        <w:t>ельному пенсионному страхованию как величина, не превышающая 15% результатов инвестирования по данным бухгалтерского учета за отчетный год.</w:t>
      </w:r>
    </w:p>
    <w:p w:rsidR="00227280" w:rsidRDefault="00227280" w:rsidP="008D2635">
      <w:pPr>
        <w:spacing w:after="0" w:line="240" w:lineRule="auto"/>
        <w:rPr>
          <w:rFonts w:ascii="Century Gothic" w:hAnsi="Century Gothic"/>
          <w:sz w:val="20"/>
        </w:rPr>
      </w:pPr>
    </w:p>
    <w:p w:rsidR="003D4E85" w:rsidRPr="003D4E85" w:rsidRDefault="003D4E85" w:rsidP="009843F7">
      <w:pPr>
        <w:pStyle w:val="11"/>
        <w:numPr>
          <w:ilvl w:val="0"/>
          <w:numId w:val="0"/>
        </w:numPr>
        <w:spacing w:before="0"/>
        <w:jc w:val="left"/>
        <w:outlineLvl w:val="0"/>
        <w:rPr>
          <w:rFonts w:ascii="Century Gothic" w:eastAsiaTheme="minorHAnsi" w:hAnsi="Century Gothic" w:cstheme="minorBidi"/>
          <w:b/>
          <w:sz w:val="20"/>
          <w:szCs w:val="22"/>
        </w:rPr>
      </w:pPr>
      <w:r w:rsidRPr="003D4E85">
        <w:rPr>
          <w:rFonts w:ascii="Century Gothic" w:eastAsiaTheme="minorHAnsi" w:hAnsi="Century Gothic" w:cstheme="minorBidi"/>
          <w:b/>
          <w:sz w:val="20"/>
          <w:szCs w:val="22"/>
        </w:rPr>
        <w:t xml:space="preserve">Пример </w:t>
      </w:r>
      <w:r>
        <w:rPr>
          <w:rFonts w:ascii="Century Gothic" w:eastAsiaTheme="minorHAnsi" w:hAnsi="Century Gothic" w:cstheme="minorBidi"/>
          <w:b/>
          <w:sz w:val="20"/>
          <w:szCs w:val="22"/>
        </w:rPr>
        <w:t>таблицы расчета переменной части вознаграждения Фонда</w:t>
      </w:r>
      <w:r w:rsidRPr="003D4E85">
        <w:rPr>
          <w:rFonts w:ascii="Century Gothic" w:eastAsiaTheme="minorHAnsi" w:hAnsi="Century Gothic" w:cstheme="minorBidi"/>
          <w:b/>
          <w:sz w:val="20"/>
          <w:szCs w:val="22"/>
        </w:rPr>
        <w:t>.</w:t>
      </w:r>
    </w:p>
    <w:p w:rsidR="003D4E85" w:rsidRPr="00D45608" w:rsidRDefault="003D4E85" w:rsidP="008D2635">
      <w:pPr>
        <w:spacing w:after="0" w:line="240" w:lineRule="auto"/>
        <w:rPr>
          <w:rFonts w:ascii="Century Gothic" w:hAnsi="Century Gothic"/>
          <w:sz w:val="20"/>
        </w:rPr>
      </w:pPr>
    </w:p>
    <w:p w:rsidR="00227280" w:rsidRPr="00D45608" w:rsidRDefault="00227280" w:rsidP="006741F0">
      <w:pPr>
        <w:spacing w:after="0" w:line="240" w:lineRule="auto"/>
        <w:outlineLvl w:val="0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ФОНД</w:t>
      </w:r>
      <w:r w:rsidR="003D4E85">
        <w:rPr>
          <w:rFonts w:ascii="Century Gothic" w:hAnsi="Century Gothic"/>
          <w:sz w:val="20"/>
        </w:rPr>
        <w:t xml:space="preserve"> _________________________________________________</w:t>
      </w:r>
    </w:p>
    <w:p w:rsidR="00227280" w:rsidRPr="00D45608" w:rsidRDefault="00227280" w:rsidP="008D2635">
      <w:pPr>
        <w:spacing w:after="0" w:line="240" w:lineRule="auto"/>
        <w:rPr>
          <w:rFonts w:ascii="Century Gothic" w:hAnsi="Century Gothic"/>
          <w:sz w:val="20"/>
        </w:rPr>
      </w:pPr>
    </w:p>
    <w:p w:rsidR="00227280" w:rsidRPr="00D45608" w:rsidRDefault="00227280" w:rsidP="00227280">
      <w:pPr>
        <w:spacing w:after="0" w:line="240" w:lineRule="auto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№ Портфель</w:t>
      </w:r>
      <w:r w:rsidR="003D4E85">
        <w:rPr>
          <w:rFonts w:ascii="Century Gothic" w:hAnsi="Century Gothic"/>
          <w:sz w:val="20"/>
        </w:rPr>
        <w:t xml:space="preserve"> __________________________________________</w:t>
      </w:r>
    </w:p>
    <w:p w:rsidR="00227280" w:rsidRPr="00D45608" w:rsidRDefault="00227280" w:rsidP="008D263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227280" w:rsidRPr="00D45608" w:rsidRDefault="00227280" w:rsidP="00227280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Расчет Переменной части вознаграждения Фонда по итогам 2018 года</w:t>
      </w:r>
      <w:r w:rsidR="00BD02D9" w:rsidRPr="00D45608">
        <w:rPr>
          <w:rFonts w:ascii="Century Gothic" w:hAnsi="Century Gothic"/>
          <w:sz w:val="20"/>
        </w:rPr>
        <w:t>,</w:t>
      </w:r>
      <w:r w:rsidR="00BD02D9">
        <w:rPr>
          <w:rFonts w:ascii="Century Gothic" w:hAnsi="Century Gothic"/>
          <w:sz w:val="20"/>
        </w:rPr>
        <w:br/>
      </w:r>
      <w:proofErr w:type="gramStart"/>
      <w:r w:rsidRPr="00D45608">
        <w:rPr>
          <w:rFonts w:ascii="Century Gothic" w:hAnsi="Century Gothic"/>
          <w:sz w:val="20"/>
        </w:rPr>
        <w:t>согласно Указания</w:t>
      </w:r>
      <w:proofErr w:type="gramEnd"/>
      <w:r w:rsidRPr="00D45608">
        <w:rPr>
          <w:rFonts w:ascii="Century Gothic" w:hAnsi="Century Gothic"/>
          <w:sz w:val="20"/>
        </w:rPr>
        <w:t xml:space="preserve"> Банка России </w:t>
      </w:r>
      <w:r w:rsidR="00BD02D9">
        <w:rPr>
          <w:rFonts w:ascii="Century Gothic" w:hAnsi="Century Gothic"/>
          <w:sz w:val="20"/>
        </w:rPr>
        <w:t>№ </w:t>
      </w:r>
      <w:r w:rsidRPr="00D45608">
        <w:rPr>
          <w:rFonts w:ascii="Century Gothic" w:hAnsi="Century Gothic"/>
          <w:sz w:val="20"/>
        </w:rPr>
        <w:t>4881-У от 23.08.2018 года</w:t>
      </w:r>
    </w:p>
    <w:p w:rsidR="00227280" w:rsidRPr="00D45608" w:rsidRDefault="00227280" w:rsidP="008D2635">
      <w:pPr>
        <w:spacing w:after="0" w:line="240" w:lineRule="auto"/>
        <w:rPr>
          <w:rFonts w:ascii="Century Gothic" w:hAnsi="Century Gothic"/>
          <w:sz w:val="20"/>
        </w:rPr>
      </w:pPr>
    </w:p>
    <w:p w:rsidR="00227280" w:rsidRPr="00D45608" w:rsidRDefault="00227280" w:rsidP="008D2635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D45608">
        <w:rPr>
          <w:rFonts w:ascii="Century Gothic" w:hAnsi="Century Gothic"/>
          <w:sz w:val="20"/>
        </w:rPr>
        <w:t>(руб. коп.)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100"/>
        <w:gridCol w:w="4962"/>
        <w:gridCol w:w="1590"/>
        <w:gridCol w:w="1670"/>
      </w:tblGrid>
      <w:tr w:rsidR="008D2635" w:rsidRPr="008D2635" w:rsidTr="009843F7">
        <w:trPr>
          <w:trHeight w:val="765"/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Наименование показателя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 xml:space="preserve">Обозначение согласно Указанию </w:t>
            </w:r>
            <w:r w:rsidR="00BD02D9">
              <w:rPr>
                <w:rFonts w:ascii="Century Gothic" w:hAnsi="Century Gothic"/>
                <w:sz w:val="20"/>
              </w:rPr>
              <w:t>№ </w:t>
            </w:r>
            <w:r w:rsidRPr="00D45608">
              <w:rPr>
                <w:rFonts w:ascii="Century Gothic" w:hAnsi="Century Gothic"/>
                <w:sz w:val="20"/>
              </w:rPr>
              <w:t>4881-У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Значение</w:t>
            </w:r>
          </w:p>
        </w:tc>
      </w:tr>
      <w:tr w:rsidR="008D2635" w:rsidRPr="008D2635" w:rsidTr="00227280">
        <w:trPr>
          <w:trHeight w:val="18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35" w:rsidRPr="00D45608" w:rsidRDefault="008D2635" w:rsidP="00BD02D9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proofErr w:type="gramStart"/>
            <w:r w:rsidRPr="00D45608">
              <w:rPr>
                <w:rFonts w:ascii="Century Gothic" w:hAnsi="Century Gothic"/>
                <w:sz w:val="20"/>
              </w:rPr>
              <w:t xml:space="preserve">стоимость активов, составляющих пенсионные накопления, по данным бухгалтерского учета на конец последнего дня периода инвестирования k с учетом всех корректирующих событий, подлежащих отражению в бухгалтерском учете в соответствии с Положением Банка России от 16 декабря 2015 года </w:t>
            </w:r>
            <w:r w:rsidR="00BD02D9">
              <w:rPr>
                <w:rFonts w:ascii="Century Gothic" w:hAnsi="Century Gothic"/>
                <w:sz w:val="20"/>
              </w:rPr>
              <w:t>№</w:t>
            </w:r>
            <w:r w:rsidR="00BD02D9" w:rsidRPr="00D45608">
              <w:rPr>
                <w:rFonts w:ascii="Century Gothic" w:hAnsi="Century Gothic"/>
                <w:sz w:val="20"/>
              </w:rPr>
              <w:t xml:space="preserve"> </w:t>
            </w:r>
            <w:r w:rsidRPr="00D45608">
              <w:rPr>
                <w:rFonts w:ascii="Century Gothic" w:hAnsi="Century Gothic"/>
                <w:sz w:val="20"/>
              </w:rPr>
              <w:t xml:space="preserve">520-П </w:t>
            </w:r>
            <w:r w:rsidR="00BD02D9">
              <w:rPr>
                <w:rFonts w:ascii="Century Gothic" w:hAnsi="Century Gothic"/>
                <w:sz w:val="20"/>
              </w:rPr>
              <w:t>«</w:t>
            </w:r>
            <w:r w:rsidRPr="00D45608">
              <w:rPr>
                <w:rFonts w:ascii="Century Gothic" w:hAnsi="Century Gothic"/>
                <w:sz w:val="20"/>
              </w:rPr>
              <w:t>Отраслевой стандарт бухгалтерского учета некредитными финансовыми организациями событий после окончания отчетного периода</w:t>
            </w:r>
            <w:r w:rsidR="00BD02D9">
              <w:rPr>
                <w:rFonts w:ascii="Century Gothic" w:hAnsi="Century Gothic"/>
                <w:sz w:val="20"/>
              </w:rPr>
              <w:t>»</w:t>
            </w:r>
            <w:r w:rsidR="00BD02D9" w:rsidRPr="00D45608">
              <w:rPr>
                <w:rFonts w:ascii="Century Gothic" w:hAnsi="Century Gothic"/>
                <w:sz w:val="20"/>
              </w:rPr>
              <w:t xml:space="preserve">, </w:t>
            </w:r>
            <w:r w:rsidRPr="00D45608">
              <w:rPr>
                <w:rFonts w:ascii="Century Gothic" w:hAnsi="Century Gothic"/>
                <w:sz w:val="20"/>
              </w:rPr>
              <w:t xml:space="preserve">зарегистрированного Министерством юстиции Российской Федерации 22 января 2016 года </w:t>
            </w:r>
            <w:r w:rsidR="00BD02D9">
              <w:rPr>
                <w:rFonts w:ascii="Century Gothic" w:hAnsi="Century Gothic"/>
                <w:sz w:val="20"/>
              </w:rPr>
              <w:t>№ </w:t>
            </w:r>
            <w:r w:rsidR="00BD02D9" w:rsidRPr="00D45608">
              <w:rPr>
                <w:rFonts w:ascii="Century Gothic" w:hAnsi="Century Gothic"/>
                <w:sz w:val="20"/>
              </w:rPr>
              <w:t xml:space="preserve"> </w:t>
            </w:r>
            <w:r w:rsidRPr="00D45608">
              <w:rPr>
                <w:rFonts w:ascii="Century Gothic" w:hAnsi="Century Gothic"/>
                <w:sz w:val="20"/>
              </w:rPr>
              <w:t>40722</w:t>
            </w:r>
            <w:proofErr w:type="gramEnd"/>
            <w:r w:rsidRPr="00D45608">
              <w:rPr>
                <w:rFonts w:ascii="Century Gothic" w:hAnsi="Century Gothic"/>
                <w:sz w:val="20"/>
              </w:rPr>
              <w:t xml:space="preserve">, 21 декабря 2016 года </w:t>
            </w:r>
            <w:r w:rsidR="00BD02D9">
              <w:rPr>
                <w:rFonts w:ascii="Century Gothic" w:hAnsi="Century Gothic"/>
                <w:sz w:val="20"/>
              </w:rPr>
              <w:t>№ </w:t>
            </w:r>
            <w:r w:rsidRPr="00D45608">
              <w:rPr>
                <w:rFonts w:ascii="Century Gothic" w:hAnsi="Century Gothic"/>
                <w:sz w:val="20"/>
              </w:rPr>
              <w:t xml:space="preserve">44854, 15 декабря 2017 года </w:t>
            </w:r>
            <w:r w:rsidR="00BD02D9">
              <w:rPr>
                <w:rFonts w:ascii="Century Gothic" w:hAnsi="Century Gothic"/>
                <w:sz w:val="20"/>
              </w:rPr>
              <w:t>№ </w:t>
            </w:r>
            <w:r w:rsidRPr="00D45608">
              <w:rPr>
                <w:rFonts w:ascii="Century Gothic" w:hAnsi="Century Gothic"/>
                <w:sz w:val="20"/>
              </w:rPr>
              <w:t>49269;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7F7199" w:rsidP="008D2635">
            <w:pPr>
              <w:spacing w:after="0" w:line="240" w:lineRule="auto"/>
              <w:jc w:val="right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361950</wp:posOffset>
                  </wp:positionV>
                  <wp:extent cx="333375" cy="371475"/>
                  <wp:effectExtent l="0" t="0" r="0" b="0"/>
                  <wp:wrapNone/>
                  <wp:docPr id="16845" name="Рисунок 16845" descr="base_1_308517_327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4B944A14-666B-499D-B850-F38AC14913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5" name="Рисунок 1" descr="base_1_308517_327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4B944A14-666B-499D-B850-F38AC14913DC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227280">
        <w:trPr>
          <w:trHeight w:val="13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сумма величин - размера постоянной части вознаграждения фонда за период инвестирования k и размера необходимых расходов управляющих компаний, непосредственно связанных с инвестированием средств пенсионных накоплений и оплачиваемых из средств пенсионных накоплений (далее - расходы управляющей компании), за период инвестирования k, в части, не оплаченной за счет средств пенсионных накоплений по состоянию на последний день периода инвестирования k;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7F7199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200025</wp:posOffset>
                  </wp:positionV>
                  <wp:extent cx="409575" cy="342900"/>
                  <wp:effectExtent l="0" t="0" r="9525" b="0"/>
                  <wp:wrapNone/>
                  <wp:docPr id="16846" name="Рисунок 16846" descr="base_1_308517_327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3E34A948-4567-4CD1-AAE6-A9724C77C9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6" name="Рисунок 2" descr="base_1_308517_327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3E34A948-4567-4CD1-AAE6-A9724C77C97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227280">
        <w:trPr>
          <w:trHeight w:val="6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стоимость активов, составляющих пенсионные накопления, по данным бухгалтерского учета на начало первого дня периода инвестирования k;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7F7199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371475" cy="314325"/>
                  <wp:effectExtent l="0" t="0" r="0" b="0"/>
                  <wp:wrapNone/>
                  <wp:docPr id="16847" name="Рисунок 16847" descr="base_1_308517_327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F31D93A1-E20C-42B9-8104-13CE39D53D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7" name="Рисунок 3" descr="base_1_308517_327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F31D93A1-E20C-42B9-8104-13CE39D53D70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BD02D9">
        <w:trPr>
          <w:trHeight w:val="8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 xml:space="preserve">сумма величин - размера постоянной части вознаграждения фонда за период инвестирования, предшествующий периоду инвестирования k, и размера расходов управляющих компаний за период инвестирования, предшествующий периоду инвестирования k, в части, не оплаченной за счет средств пенсионных накоплений по </w:t>
            </w:r>
            <w:r w:rsidRPr="00D45608">
              <w:rPr>
                <w:rFonts w:ascii="Century Gothic" w:hAnsi="Century Gothic"/>
                <w:sz w:val="20"/>
              </w:rPr>
              <w:lastRenderedPageBreak/>
              <w:t>состоянию на последний день периода инвестирования, предшествующего периоду инвестирования k. В случае если период инвестирования, предшествующий периоду инвестирования k, находится в пределах 2017 года, показатель Fix0 принимается равным 0;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7F7199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266700</wp:posOffset>
                  </wp:positionV>
                  <wp:extent cx="371475" cy="352425"/>
                  <wp:effectExtent l="0" t="0" r="9525" b="0"/>
                  <wp:wrapNone/>
                  <wp:docPr id="16848" name="Рисунок 16848" descr="base_1_308517_327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443DC5E7-E57B-4B3C-8303-EBC2844609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8" name="Рисунок 4" descr="base_1_308517_327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443DC5E7-E57B-4B3C-8303-EBC28446090E}"/>
                              </a:ext>
                            </a:extLst>
                          </pic:cNvPr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 </w:t>
            </w:r>
          </w:p>
        </w:tc>
      </w:tr>
      <w:tr w:rsidR="008D2635" w:rsidRPr="008D2635" w:rsidTr="00D45608">
        <w:trPr>
          <w:trHeight w:val="7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 xml:space="preserve">сумма средств, поступивших в состав пенсионных накоплений в периоде инвестирования k, за вычетом суммы средств, выбывших из состава пенсионных накоплений в периоде инвестирования k.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proofErr w:type="spellStart"/>
            <w:r w:rsidRPr="00D45608">
              <w:rPr>
                <w:rFonts w:ascii="Century Gothic" w:hAnsi="Century Gothic"/>
                <w:sz w:val="20"/>
              </w:rPr>
              <w:t>Fk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D45608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 xml:space="preserve">В расчет показателя </w:t>
            </w:r>
            <w:proofErr w:type="spellStart"/>
            <w:r w:rsidRPr="00D45608">
              <w:rPr>
                <w:rFonts w:ascii="Century Gothic" w:hAnsi="Century Gothic"/>
                <w:sz w:val="20"/>
              </w:rPr>
              <w:t>Fk</w:t>
            </w:r>
            <w:proofErr w:type="spellEnd"/>
            <w:r w:rsidRPr="00D45608">
              <w:rPr>
                <w:rFonts w:ascii="Century Gothic" w:hAnsi="Century Gothic"/>
                <w:sz w:val="20"/>
              </w:rPr>
              <w:t xml:space="preserve"> не включаются следующие величины: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BD02D9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BD02D9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</w:p>
        </w:tc>
      </w:tr>
      <w:tr w:rsidR="008D2635" w:rsidRPr="008D2635" w:rsidTr="00D45608">
        <w:trPr>
          <w:trHeight w:val="3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5.1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BD02D9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размер постоянной части выплаченной фонду, и размер расходов управляющих компаний;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D45608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сумма средств, поступивших по активам, составляющим пенсионные накопления, в том числе в связи с погашением (выкупом) актива, составляющего пенсионные накопления, лицом, обязанным по такому активу;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8D2635" w:rsidTr="00D45608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5.3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сумма средств, выбывших и поступивших в состав пенсионных накоплений в результате сделок с активами, составляющими пенсионные накопления.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227280" w:rsidRPr="008D2635" w:rsidTr="00D45608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Доход от инвестирования средств пенсионных накоплений для целей расчета переменной части вознаграждения (далее - расчет дохода).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227280" w:rsidRPr="008D2635" w:rsidTr="00227280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Default="00227280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Прибыль по данным бухгалтерского учета по итогам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center"/>
              <w:outlineLvl w:val="1"/>
              <w:rPr>
                <w:rFonts w:ascii="Century Gothic" w:hAnsi="Century Gothic"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1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8D2635" w:rsidRPr="00D45608" w:rsidTr="00227280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center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35" w:rsidRPr="00D45608" w:rsidRDefault="008D2635" w:rsidP="00BD02D9">
            <w:pPr>
              <w:spacing w:after="0" w:line="240" w:lineRule="auto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Разница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35" w:rsidRPr="00D45608" w:rsidRDefault="008D2635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  <w:tr w:rsidR="00227280" w:rsidRPr="00D45608" w:rsidTr="00227280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center"/>
              <w:outlineLvl w:val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80" w:rsidRPr="00D45608" w:rsidRDefault="00227280" w:rsidP="00BD02D9">
            <w:pPr>
              <w:spacing w:after="0" w:line="240" w:lineRule="auto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Расчет отчисления от дохода (Портфель) в размере 15% на ОУД Фонда по итогам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15%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80" w:rsidRPr="00D45608" w:rsidRDefault="00227280" w:rsidP="008D2635">
            <w:pPr>
              <w:spacing w:after="0" w:line="240" w:lineRule="auto"/>
              <w:jc w:val="right"/>
              <w:outlineLvl w:val="0"/>
              <w:rPr>
                <w:rFonts w:ascii="Century Gothic" w:hAnsi="Century Gothic"/>
                <w:sz w:val="20"/>
              </w:rPr>
            </w:pPr>
            <w:r w:rsidRPr="00D45608">
              <w:rPr>
                <w:rFonts w:ascii="Century Gothic" w:hAnsi="Century Gothic"/>
                <w:sz w:val="20"/>
              </w:rPr>
              <w:t>0,00</w:t>
            </w:r>
          </w:p>
        </w:tc>
      </w:tr>
    </w:tbl>
    <w:p w:rsidR="008D2635" w:rsidRPr="008D2635" w:rsidRDefault="008D2635" w:rsidP="000A260B">
      <w:pPr>
        <w:tabs>
          <w:tab w:val="left" w:pos="6816"/>
        </w:tabs>
        <w:spacing w:after="0"/>
        <w:ind w:left="360"/>
        <w:jc w:val="both"/>
        <w:rPr>
          <w:rFonts w:ascii="Century Gothic" w:hAnsi="Century Gothic"/>
          <w:b/>
          <w:sz w:val="20"/>
        </w:rPr>
      </w:pPr>
    </w:p>
    <w:p w:rsidR="00062C21" w:rsidRPr="00D45608" w:rsidRDefault="00062C21" w:rsidP="00227280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Century Gothic" w:hAnsi="Century Gothic"/>
          <w:b/>
          <w:sz w:val="20"/>
        </w:rPr>
      </w:pPr>
      <w:r w:rsidRPr="00D45608">
        <w:rPr>
          <w:rFonts w:ascii="Century Gothic" w:hAnsi="Century Gothic"/>
          <w:b/>
          <w:sz w:val="20"/>
        </w:rPr>
        <w:t>Определение результатов инвестирования средств пенсионных накоплений, не включенных в резервы негосударственного пенсионного фонда, для отражения на пенсионном счете накопительной пенсии</w:t>
      </w:r>
      <w:r w:rsidR="00BD02D9">
        <w:rPr>
          <w:rFonts w:ascii="Century Gothic" w:hAnsi="Century Gothic"/>
          <w:b/>
          <w:sz w:val="20"/>
        </w:rPr>
        <w:t>.</w:t>
      </w:r>
    </w:p>
    <w:p w:rsidR="00062C21" w:rsidRPr="00062C21" w:rsidRDefault="00062C21" w:rsidP="003D4E85">
      <w:pPr>
        <w:spacing w:before="120" w:after="0"/>
        <w:jc w:val="both"/>
        <w:rPr>
          <w:rFonts w:ascii="Century Gothic" w:hAnsi="Century Gothic"/>
          <w:sz w:val="18"/>
        </w:rPr>
      </w:pPr>
      <w:r w:rsidRPr="00062C21">
        <w:rPr>
          <w:rFonts w:ascii="Century Gothic" w:hAnsi="Century Gothic"/>
          <w:sz w:val="18"/>
        </w:rPr>
        <w:t>(Указание Банка России №</w:t>
      </w:r>
      <w:r w:rsidR="00BD02D9">
        <w:rPr>
          <w:rFonts w:ascii="Century Gothic" w:hAnsi="Century Gothic"/>
          <w:sz w:val="18"/>
        </w:rPr>
        <w:t> </w:t>
      </w:r>
      <w:r w:rsidRPr="00062C21">
        <w:rPr>
          <w:rFonts w:ascii="Century Gothic" w:hAnsi="Century Gothic"/>
          <w:sz w:val="18"/>
        </w:rPr>
        <w:t>4139-У от 23.09.2018 г.)</w:t>
      </w:r>
    </w:p>
    <w:p w:rsidR="00C61E1F" w:rsidRDefault="00C61E1F" w:rsidP="003D4E85">
      <w:pPr>
        <w:pStyle w:val="a3"/>
        <w:numPr>
          <w:ilvl w:val="1"/>
          <w:numId w:val="9"/>
        </w:numPr>
        <w:spacing w:before="120" w:after="0"/>
        <w:ind w:left="0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Расчет показателя стоимости</w:t>
      </w:r>
      <w:r w:rsidR="0012033F">
        <w:rPr>
          <w:rFonts w:ascii="Century Gothic" w:hAnsi="Century Gothic"/>
          <w:sz w:val="20"/>
        </w:rPr>
        <w:t xml:space="preserve"> активов, сформированных за счет средств пенсионных накоплений (показатель </w:t>
      </w:r>
      <w:proofErr w:type="spellStart"/>
      <w:r w:rsidR="0012033F">
        <w:rPr>
          <w:rFonts w:ascii="Century Gothic" w:hAnsi="Century Gothic"/>
          <w:sz w:val="20"/>
          <w:lang w:val="en-US"/>
        </w:rPr>
        <w:t>V</w:t>
      </w:r>
      <w:r w:rsidR="0012033F" w:rsidRPr="0012033F">
        <w:rPr>
          <w:rFonts w:ascii="Century Gothic" w:hAnsi="Century Gothic"/>
          <w:sz w:val="20"/>
          <w:vertAlign w:val="subscript"/>
          <w:lang w:val="en-US"/>
        </w:rPr>
        <w:t>k</w:t>
      </w:r>
      <w:proofErr w:type="spellEnd"/>
      <w:r w:rsidR="0012033F" w:rsidRPr="0012033F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 xml:space="preserve">, должен соответствовать порядку, использованному при расчете дохода от инвестирования Указания </w:t>
      </w:r>
      <w:r w:rsidR="00BD02D9">
        <w:rPr>
          <w:rFonts w:ascii="Century Gothic" w:hAnsi="Century Gothic"/>
          <w:sz w:val="20"/>
        </w:rPr>
        <w:t>№ </w:t>
      </w:r>
      <w:r>
        <w:rPr>
          <w:rFonts w:ascii="Century Gothic" w:hAnsi="Century Gothic"/>
          <w:sz w:val="20"/>
        </w:rPr>
        <w:t>4881-У от 23.08.2018 г. и включать в себя дебиторскую/кредиторскую задолженность по пенсионным выплатам.</w:t>
      </w:r>
    </w:p>
    <w:p w:rsidR="00733BE5" w:rsidRDefault="00C61E1F" w:rsidP="003D4E85">
      <w:pPr>
        <w:pStyle w:val="a3"/>
        <w:numPr>
          <w:ilvl w:val="1"/>
          <w:numId w:val="9"/>
        </w:numPr>
        <w:spacing w:before="120" w:after="0"/>
        <w:ind w:left="0" w:firstLine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Величина вознаграждения фонда (в составе показателя </w:t>
      </w:r>
      <w:proofErr w:type="spellStart"/>
      <w:r w:rsidRPr="00C61E1F">
        <w:rPr>
          <w:rFonts w:ascii="Century Gothic" w:hAnsi="Century Gothic"/>
          <w:sz w:val="20"/>
        </w:rPr>
        <w:t>EX</w:t>
      </w:r>
      <w:r w:rsidRPr="00C61E1F">
        <w:rPr>
          <w:rFonts w:ascii="Century Gothic" w:hAnsi="Century Gothic"/>
          <w:sz w:val="20"/>
          <w:vertAlign w:val="subscript"/>
        </w:rPr>
        <w:t>k</w:t>
      </w:r>
      <w:proofErr w:type="spellEnd"/>
      <w:r>
        <w:rPr>
          <w:rFonts w:ascii="Century Gothic" w:hAnsi="Century Gothic"/>
          <w:sz w:val="20"/>
        </w:rPr>
        <w:t xml:space="preserve">) </w:t>
      </w:r>
      <w:r w:rsidR="00D356BA">
        <w:rPr>
          <w:rFonts w:ascii="Century Gothic" w:hAnsi="Century Gothic"/>
          <w:sz w:val="20"/>
        </w:rPr>
        <w:t>включает в себя</w:t>
      </w:r>
      <w:r w:rsidR="00733BE5">
        <w:rPr>
          <w:rFonts w:ascii="Century Gothic" w:hAnsi="Century Gothic"/>
          <w:sz w:val="20"/>
        </w:rPr>
        <w:t>:</w:t>
      </w:r>
    </w:p>
    <w:p w:rsidR="00062C21" w:rsidRDefault="00D356BA" w:rsidP="00227280">
      <w:pPr>
        <w:pStyle w:val="a3"/>
        <w:numPr>
          <w:ilvl w:val="1"/>
          <w:numId w:val="5"/>
        </w:numPr>
        <w:spacing w:after="0"/>
        <w:ind w:left="924" w:hanging="35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задолженность по перечислению постоянной части вознаграждения за отчетный год в части, не перечисленной на расчетный счет фонда, предназначенный для учета собственных средств, в течение отчетного года</w:t>
      </w:r>
      <w:r w:rsidR="00733BE5">
        <w:rPr>
          <w:rFonts w:ascii="Century Gothic" w:hAnsi="Century Gothic"/>
          <w:sz w:val="20"/>
        </w:rPr>
        <w:t>;</w:t>
      </w:r>
    </w:p>
    <w:p w:rsidR="00733BE5" w:rsidRPr="00733BE5" w:rsidRDefault="00733BE5" w:rsidP="00227280">
      <w:pPr>
        <w:pStyle w:val="a3"/>
        <w:numPr>
          <w:ilvl w:val="1"/>
          <w:numId w:val="5"/>
        </w:numPr>
        <w:spacing w:after="0"/>
        <w:ind w:left="924" w:hanging="35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задолже</w:t>
      </w:r>
      <w:r w:rsidR="00E1668D">
        <w:rPr>
          <w:rFonts w:ascii="Century Gothic" w:hAnsi="Century Gothic"/>
          <w:sz w:val="20"/>
        </w:rPr>
        <w:t>нность по перечислению</w:t>
      </w:r>
      <w:r w:rsidR="00990A51">
        <w:rPr>
          <w:rFonts w:ascii="Century Gothic" w:hAnsi="Century Gothic"/>
          <w:sz w:val="20"/>
        </w:rPr>
        <w:t xml:space="preserve"> переменной части вознаграждения, рассчитанной как процент от положительного результата инвестирования средств </w:t>
      </w:r>
      <w:r w:rsidR="00990A51">
        <w:rPr>
          <w:rFonts w:ascii="Century Gothic" w:hAnsi="Century Gothic"/>
          <w:sz w:val="20"/>
        </w:rPr>
        <w:lastRenderedPageBreak/>
        <w:t>пенсионных накоплений, не включенных в резервы фонда (с учетом ограничений ст.</w:t>
      </w:r>
      <w:r w:rsidR="00BD02D9">
        <w:rPr>
          <w:rFonts w:ascii="Century Gothic" w:hAnsi="Century Gothic"/>
          <w:sz w:val="20"/>
        </w:rPr>
        <w:t> 27 закона № </w:t>
      </w:r>
      <w:r w:rsidR="00990A51">
        <w:rPr>
          <w:rFonts w:ascii="Century Gothic" w:hAnsi="Century Gothic"/>
          <w:sz w:val="20"/>
        </w:rPr>
        <w:t>75-ФЗ)</w:t>
      </w:r>
      <w:r w:rsidR="009843F7">
        <w:rPr>
          <w:rFonts w:ascii="Century Gothic" w:hAnsi="Century Gothic"/>
          <w:sz w:val="20"/>
        </w:rPr>
        <w:t>.</w:t>
      </w:r>
    </w:p>
    <w:p w:rsidR="00733BE5" w:rsidRDefault="00990A51" w:rsidP="003D4E85">
      <w:pPr>
        <w:pStyle w:val="a3"/>
        <w:numPr>
          <w:ilvl w:val="1"/>
          <w:numId w:val="9"/>
        </w:numPr>
        <w:spacing w:before="120" w:after="0"/>
        <w:ind w:left="0" w:firstLine="0"/>
        <w:jc w:val="both"/>
        <w:rPr>
          <w:rFonts w:ascii="Century Gothic" w:hAnsi="Century Gothic"/>
          <w:sz w:val="20"/>
        </w:rPr>
      </w:pPr>
      <w:r w:rsidRPr="00990A51">
        <w:rPr>
          <w:rFonts w:ascii="Century Gothic" w:hAnsi="Century Gothic"/>
          <w:sz w:val="20"/>
        </w:rPr>
        <w:t>Результат инвестирования средств пенсионных накоплений за расчетный период (</w:t>
      </w:r>
      <w:proofErr w:type="spellStart"/>
      <w:r w:rsidRPr="00990A51">
        <w:rPr>
          <w:rFonts w:ascii="Century Gothic" w:hAnsi="Century Gothic"/>
          <w:sz w:val="20"/>
        </w:rPr>
        <w:t>RES</w:t>
      </w:r>
      <w:r w:rsidRPr="00990A51">
        <w:rPr>
          <w:rFonts w:ascii="Century Gothic" w:hAnsi="Century Gothic"/>
          <w:sz w:val="20"/>
          <w:vertAlign w:val="subscript"/>
        </w:rPr>
        <w:t>k</w:t>
      </w:r>
      <w:proofErr w:type="spellEnd"/>
      <w:r w:rsidRPr="00990A51">
        <w:rPr>
          <w:rFonts w:ascii="Century Gothic" w:hAnsi="Century Gothic"/>
          <w:sz w:val="20"/>
        </w:rPr>
        <w:t>)</w:t>
      </w:r>
      <w:r w:rsidR="005A3C8E">
        <w:rPr>
          <w:rFonts w:ascii="Century Gothic" w:hAnsi="Century Gothic"/>
          <w:sz w:val="20"/>
        </w:rPr>
        <w:t>, скорректированный на задолженность по перечислению переменной части вознаграждения, должен соответствовать результату инвестирования, сформированному в бухгалтерском учете фонда.</w:t>
      </w:r>
    </w:p>
    <w:p w:rsidR="00227280" w:rsidRDefault="00227280">
      <w:pPr>
        <w:spacing w:after="0"/>
        <w:jc w:val="both"/>
        <w:rPr>
          <w:rFonts w:ascii="Century Gothic" w:hAnsi="Century Gothic"/>
          <w:sz w:val="20"/>
        </w:rPr>
      </w:pPr>
    </w:p>
    <w:p w:rsidR="003D4E85" w:rsidRPr="003D4E85" w:rsidRDefault="003D4E85" w:rsidP="003D4E85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Century Gothic" w:hAnsi="Century Gothic"/>
          <w:b/>
          <w:sz w:val="20"/>
        </w:rPr>
      </w:pPr>
      <w:r w:rsidRPr="003D4E85">
        <w:rPr>
          <w:rFonts w:ascii="Century Gothic" w:hAnsi="Century Gothic"/>
          <w:b/>
          <w:sz w:val="20"/>
        </w:rPr>
        <w:t>Схема распределения инвестиционного дохода</w:t>
      </w:r>
      <w:r w:rsidR="009843F7">
        <w:rPr>
          <w:rFonts w:ascii="Century Gothic" w:hAnsi="Century Gothic"/>
          <w:b/>
          <w:sz w:val="20"/>
        </w:rPr>
        <w:t>.</w:t>
      </w:r>
    </w:p>
    <w:p w:rsidR="003D4E85" w:rsidRDefault="003D4E85">
      <w:pPr>
        <w:spacing w:after="0"/>
        <w:jc w:val="both"/>
        <w:rPr>
          <w:rFonts w:ascii="Century Gothic" w:hAnsi="Century Gothic"/>
          <w:sz w:val="20"/>
        </w:rPr>
      </w:pPr>
    </w:p>
    <w:p w:rsidR="003D4E85" w:rsidRDefault="003D4E85">
      <w:pPr>
        <w:spacing w:after="0"/>
        <w:jc w:val="both"/>
        <w:rPr>
          <w:rFonts w:ascii="Century Gothic" w:hAnsi="Century Gothic"/>
          <w:sz w:val="20"/>
        </w:rPr>
      </w:pPr>
      <w:r w:rsidRPr="0037456D">
        <w:rPr>
          <w:rFonts w:ascii="Century Gothic" w:hAnsi="Century Gothic"/>
          <w:sz w:val="20"/>
        </w:rPr>
        <w:object w:dxaOrig="17572" w:dyaOrig="10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8.25pt;height:552pt" o:ole="">
            <v:imagedata r:id="rId19" o:title=""/>
          </v:shape>
          <o:OLEObject Type="Embed" ProgID="Excel.Sheet.8" ShapeID="_x0000_i1025" DrawAspect="Content" ObjectID="_1641213533" r:id="rId20"/>
        </w:object>
      </w:r>
    </w:p>
    <w:p w:rsidR="007F7199" w:rsidRDefault="007F7199">
      <w:pPr>
        <w:spacing w:after="0"/>
        <w:jc w:val="both"/>
        <w:rPr>
          <w:rFonts w:ascii="Century Gothic" w:hAnsi="Century Gothic"/>
          <w:sz w:val="20"/>
        </w:rPr>
      </w:pPr>
    </w:p>
    <w:sectPr w:rsidR="007F7199" w:rsidSect="00D456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4FA5F9" w15:done="0"/>
  <w15:commentEx w15:paraId="699F2376" w15:done="0"/>
  <w15:commentEx w15:paraId="6130DEF7" w15:done="0"/>
  <w15:commentEx w15:paraId="2AE6872B" w15:done="0"/>
  <w15:commentEx w15:paraId="68DC43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51E1D" w16cid:durableId="2028EC27"/>
  <w16cid:commentId w16cid:paraId="23B84F7D" w16cid:durableId="2028EC28"/>
  <w16cid:commentId w16cid:paraId="70CE2F72" w16cid:durableId="2028EC29"/>
  <w16cid:commentId w16cid:paraId="30FF1BBB" w16cid:durableId="2028EC2A"/>
  <w16cid:commentId w16cid:paraId="45D79D64" w16cid:durableId="2028EC2B"/>
  <w16cid:commentId w16cid:paraId="40D2385A" w16cid:durableId="2028F980"/>
  <w16cid:commentId w16cid:paraId="7BBDD19A" w16cid:durableId="2028EC2C"/>
  <w16cid:commentId w16cid:paraId="3C1EFDB4" w16cid:durableId="2028EC2D"/>
  <w16cid:commentId w16cid:paraId="0BF7A681" w16cid:durableId="2028EC2E"/>
  <w16cid:commentId w16cid:paraId="36BB5A9C" w16cid:durableId="2028EC2F"/>
  <w16cid:commentId w16cid:paraId="4C8FF1E8" w16cid:durableId="2028EC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33" w:rsidRDefault="00CE1033" w:rsidP="00FD2D42">
      <w:pPr>
        <w:spacing w:after="0" w:line="240" w:lineRule="auto"/>
      </w:pPr>
      <w:r>
        <w:separator/>
      </w:r>
    </w:p>
  </w:endnote>
  <w:endnote w:type="continuationSeparator" w:id="0">
    <w:p w:rsidR="00CE1033" w:rsidRDefault="00CE1033" w:rsidP="00FD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33" w:rsidRDefault="00CE1033" w:rsidP="00FD2D42">
      <w:pPr>
        <w:spacing w:after="0" w:line="240" w:lineRule="auto"/>
      </w:pPr>
      <w:r>
        <w:separator/>
      </w:r>
    </w:p>
  </w:footnote>
  <w:footnote w:type="continuationSeparator" w:id="0">
    <w:p w:rsidR="00CE1033" w:rsidRDefault="00CE1033" w:rsidP="00FD2D42">
      <w:pPr>
        <w:spacing w:after="0" w:line="240" w:lineRule="auto"/>
      </w:pPr>
      <w:r>
        <w:continuationSeparator/>
      </w:r>
    </w:p>
  </w:footnote>
  <w:footnote w:id="1">
    <w:p w:rsidR="00FD2D42" w:rsidRPr="00076170" w:rsidRDefault="00FD2D42" w:rsidP="00076170">
      <w:pPr>
        <w:pStyle w:val="a4"/>
        <w:jc w:val="both"/>
        <w:rPr>
          <w:rFonts w:ascii="Century Gothic" w:hAnsi="Century Gothic"/>
          <w:sz w:val="14"/>
        </w:rPr>
      </w:pPr>
      <w:r>
        <w:rPr>
          <w:rStyle w:val="a6"/>
        </w:rPr>
        <w:footnoteRef/>
      </w:r>
      <w:r>
        <w:t xml:space="preserve"> </w:t>
      </w:r>
      <w:r w:rsidR="00567BF8" w:rsidRPr="00076170">
        <w:rPr>
          <w:rFonts w:ascii="Century Gothic" w:hAnsi="Century Gothic"/>
          <w:sz w:val="14"/>
        </w:rPr>
        <w:t xml:space="preserve">п.46 "Международный стандарт финансовой отчетности (IFRS) 15. Выручка по договорам с покупателями" (введен в действие на территории Российской Федерации Приказом Минфина России от 27.06.2016 N 98н)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3A5"/>
    <w:multiLevelType w:val="hybridMultilevel"/>
    <w:tmpl w:val="AEB4D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2788DB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55571"/>
    <w:multiLevelType w:val="hybridMultilevel"/>
    <w:tmpl w:val="DA1A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1605"/>
    <w:multiLevelType w:val="multilevel"/>
    <w:tmpl w:val="08BA2792"/>
    <w:lvl w:ilvl="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3">
    <w:nsid w:val="44610B22"/>
    <w:multiLevelType w:val="hybridMultilevel"/>
    <w:tmpl w:val="DA1A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C2F34"/>
    <w:multiLevelType w:val="hybridMultilevel"/>
    <w:tmpl w:val="157CA70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5577112C"/>
    <w:multiLevelType w:val="hybridMultilevel"/>
    <w:tmpl w:val="F25AF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60315"/>
    <w:multiLevelType w:val="multilevel"/>
    <w:tmpl w:val="F252B58A"/>
    <w:lvl w:ilvl="0">
      <w:start w:val="3"/>
      <w:numFmt w:val="decimal"/>
      <w:pStyle w:val="11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7CCB4A46"/>
    <w:multiLevelType w:val="multilevel"/>
    <w:tmpl w:val="96C45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ксимов Алексей Михайлович">
    <w15:presenceInfo w15:providerId="AD" w15:userId="S-1-5-21-1757981266-1343024091-1801674531-6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48"/>
    <w:rsid w:val="000077DA"/>
    <w:rsid w:val="00010B73"/>
    <w:rsid w:val="0001164B"/>
    <w:rsid w:val="00031466"/>
    <w:rsid w:val="00043DD1"/>
    <w:rsid w:val="000574F0"/>
    <w:rsid w:val="00062C21"/>
    <w:rsid w:val="00076170"/>
    <w:rsid w:val="00080A1E"/>
    <w:rsid w:val="00081FE5"/>
    <w:rsid w:val="000A0474"/>
    <w:rsid w:val="000A260B"/>
    <w:rsid w:val="0012033F"/>
    <w:rsid w:val="0013268E"/>
    <w:rsid w:val="00173227"/>
    <w:rsid w:val="001E47A1"/>
    <w:rsid w:val="00217965"/>
    <w:rsid w:val="00224CC8"/>
    <w:rsid w:val="00227280"/>
    <w:rsid w:val="00236718"/>
    <w:rsid w:val="002445E6"/>
    <w:rsid w:val="00255E9D"/>
    <w:rsid w:val="002B7602"/>
    <w:rsid w:val="002C2006"/>
    <w:rsid w:val="00350448"/>
    <w:rsid w:val="00361E65"/>
    <w:rsid w:val="0037456D"/>
    <w:rsid w:val="003800D9"/>
    <w:rsid w:val="00393601"/>
    <w:rsid w:val="003B2DD1"/>
    <w:rsid w:val="003D4E85"/>
    <w:rsid w:val="003E326F"/>
    <w:rsid w:val="003E51D8"/>
    <w:rsid w:val="00414F2A"/>
    <w:rsid w:val="0042265F"/>
    <w:rsid w:val="004E1AE9"/>
    <w:rsid w:val="00523296"/>
    <w:rsid w:val="00567BF8"/>
    <w:rsid w:val="005A3C8E"/>
    <w:rsid w:val="005B3A0F"/>
    <w:rsid w:val="005E5B76"/>
    <w:rsid w:val="005F6747"/>
    <w:rsid w:val="00624742"/>
    <w:rsid w:val="00630FD9"/>
    <w:rsid w:val="006318D5"/>
    <w:rsid w:val="0064682B"/>
    <w:rsid w:val="006741F0"/>
    <w:rsid w:val="006E5F41"/>
    <w:rsid w:val="007033D9"/>
    <w:rsid w:val="0071706E"/>
    <w:rsid w:val="00733BE5"/>
    <w:rsid w:val="00767049"/>
    <w:rsid w:val="00767594"/>
    <w:rsid w:val="007756BF"/>
    <w:rsid w:val="00781AB1"/>
    <w:rsid w:val="007E27D5"/>
    <w:rsid w:val="007F2E77"/>
    <w:rsid w:val="007F7199"/>
    <w:rsid w:val="008270DE"/>
    <w:rsid w:val="00865678"/>
    <w:rsid w:val="008C4F7D"/>
    <w:rsid w:val="008D2635"/>
    <w:rsid w:val="008D371E"/>
    <w:rsid w:val="0092666A"/>
    <w:rsid w:val="00963B55"/>
    <w:rsid w:val="00976EB8"/>
    <w:rsid w:val="00982BFD"/>
    <w:rsid w:val="009843F7"/>
    <w:rsid w:val="00990A51"/>
    <w:rsid w:val="009C4A0F"/>
    <w:rsid w:val="00A048B4"/>
    <w:rsid w:val="00A3224B"/>
    <w:rsid w:val="00A531A4"/>
    <w:rsid w:val="00A81672"/>
    <w:rsid w:val="00AB27CE"/>
    <w:rsid w:val="00AC25F8"/>
    <w:rsid w:val="00AE26F7"/>
    <w:rsid w:val="00B4589E"/>
    <w:rsid w:val="00BB758A"/>
    <w:rsid w:val="00BD02D9"/>
    <w:rsid w:val="00C06F90"/>
    <w:rsid w:val="00C102C2"/>
    <w:rsid w:val="00C57E8A"/>
    <w:rsid w:val="00C61E1F"/>
    <w:rsid w:val="00C83862"/>
    <w:rsid w:val="00CA3E07"/>
    <w:rsid w:val="00CB5408"/>
    <w:rsid w:val="00CD008F"/>
    <w:rsid w:val="00CE1033"/>
    <w:rsid w:val="00D105BA"/>
    <w:rsid w:val="00D356BA"/>
    <w:rsid w:val="00D45608"/>
    <w:rsid w:val="00D97F78"/>
    <w:rsid w:val="00DB6BB8"/>
    <w:rsid w:val="00E1668D"/>
    <w:rsid w:val="00EB268D"/>
    <w:rsid w:val="00EE3F03"/>
    <w:rsid w:val="00F049FC"/>
    <w:rsid w:val="00F32B4C"/>
    <w:rsid w:val="00F33F0E"/>
    <w:rsid w:val="00F47302"/>
    <w:rsid w:val="00F475CF"/>
    <w:rsid w:val="00F47748"/>
    <w:rsid w:val="00F52FA6"/>
    <w:rsid w:val="00F92A1E"/>
    <w:rsid w:val="00FD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2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2D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2D4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A26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6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6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6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60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260B"/>
    <w:rPr>
      <w:rFonts w:ascii="Segoe UI" w:hAnsi="Segoe UI" w:cs="Segoe UI"/>
      <w:sz w:val="18"/>
      <w:szCs w:val="18"/>
    </w:rPr>
  </w:style>
  <w:style w:type="paragraph" w:customStyle="1" w:styleId="11">
    <w:name w:val="1.1"/>
    <w:basedOn w:val="a"/>
    <w:uiPriority w:val="99"/>
    <w:rsid w:val="007E27D5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67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741F0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9843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D2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D2D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2D4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A26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6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6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6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60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260B"/>
    <w:rPr>
      <w:rFonts w:ascii="Segoe UI" w:hAnsi="Segoe UI" w:cs="Segoe UI"/>
      <w:sz w:val="18"/>
      <w:szCs w:val="18"/>
    </w:rPr>
  </w:style>
  <w:style w:type="paragraph" w:customStyle="1" w:styleId="11">
    <w:name w:val="1.1"/>
    <w:basedOn w:val="a"/>
    <w:uiPriority w:val="99"/>
    <w:rsid w:val="007E27D5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67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741F0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984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A4EC1350B0C3A355490CFDFB4A23BE9AEE1741C4397858A607C1985DA75EE5CCF1EEE1A24D6A0F644B06AD53D59741878617BEa5I6P" TargetMode="External"/><Relationship Id="rId18" Type="http://schemas.openxmlformats.org/officeDocument/2006/relationships/image" Target="media/image4.wmf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A4EC1350B0C3A355490CFDFB4A23BE9AEE1741C4397858A607C1985DA75EE5CCF1EEE0AA4D6A0F644B06AD53D59741878617BEa5I6P" TargetMode="External"/><Relationship Id="rId17" Type="http://schemas.openxmlformats.org/officeDocument/2006/relationships/image" Target="media/image3.wmf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oleObject" Target="embeddings/Microsoft_Excel_97-2003_Worksheet1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A4EC1350B0C3A355490CFDFB4A23BE9AEE1741C4397858A607C1985DA75EE5CCF1EEE5A2463C5E20155FFC109E9A429E9A17BC41F445B9a3IF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8" Type="http://schemas.microsoft.com/office/2011/relationships/commentsExtended" Target="commentsExtended.xml"/><Relationship Id="rId10" Type="http://schemas.openxmlformats.org/officeDocument/2006/relationships/hyperlink" Target="consultantplus://offline/ref=84A4EC1350B0C3A355490CFDFB4A23BE9AEE1741C4397858A607C1985DA75EE5CCF1EEE5A2463F5729155FFC109E9A429E9A17BC41F445B9a3IFP" TargetMode="Externa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A4EC1350B0C3A355490CFDFB4A23BE9AEE1741C4397858A607C1985DA75EE5CCF1EEE0A74D6A0F644B06AD53D59741878617BEa5I6P" TargetMode="External"/><Relationship Id="rId14" Type="http://schemas.openxmlformats.org/officeDocument/2006/relationships/hyperlink" Target="consultantplus://offline/ref=84A4EC1350B0C3A355490CFDFB4A23BE9AEE1741C4397858A607C1985DA75EE5CCF1EEE1A34D6A0F644B06AD53D59741878617BEa5I6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0CFC-1DE6-4210-AE3D-2E8BFA9F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СБЕРБАНКА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Ольга Александровна</dc:creator>
  <cp:lastModifiedBy>Комаров Алексей Константинович </cp:lastModifiedBy>
  <cp:revision>2</cp:revision>
  <dcterms:created xsi:type="dcterms:W3CDTF">2020-01-22T12:52:00Z</dcterms:created>
  <dcterms:modified xsi:type="dcterms:W3CDTF">2020-01-22T12:52:00Z</dcterms:modified>
</cp:coreProperties>
</file>