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728" w:rsidRPr="00861728" w:rsidRDefault="00861728" w:rsidP="00861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28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Комментарии НАПФ по </w:t>
      </w:r>
      <w:r w:rsidRPr="00861728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8617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61728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«О гарантировании прав участников негосударственных пенсионных фондов в рамках деятельности по негосударственному пенсионному обеспечению и о внесении изменений в отдельные законодательные акты Российской Федерации» (далее – </w:t>
      </w:r>
      <w:r w:rsidR="0059683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61728">
        <w:rPr>
          <w:rFonts w:ascii="Times New Roman" w:hAnsi="Times New Roman" w:cs="Times New Roman"/>
          <w:b/>
          <w:bCs/>
          <w:sz w:val="28"/>
          <w:szCs w:val="28"/>
        </w:rPr>
        <w:t>аконопроект)</w:t>
      </w:r>
    </w:p>
    <w:p w:rsidR="00861728" w:rsidRPr="00861728" w:rsidRDefault="00861728" w:rsidP="00861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728" w:rsidRDefault="00861728" w:rsidP="0086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2268"/>
        <w:gridCol w:w="7654"/>
      </w:tblGrid>
      <w:tr w:rsidR="00861728" w:rsidTr="00861728">
        <w:tc>
          <w:tcPr>
            <w:tcW w:w="851" w:type="dxa"/>
          </w:tcPr>
          <w:p w:rsidR="00861728" w:rsidRPr="00CC4A68" w:rsidRDefault="00861728" w:rsidP="0086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A6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A68">
              <w:rPr>
                <w:rFonts w:ascii="Times New Roman" w:hAnsi="Times New Roman" w:cs="Times New Roman"/>
                <w:b/>
                <w:bCs/>
              </w:rPr>
              <w:t>Структурная единица документа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A68">
              <w:rPr>
                <w:rFonts w:ascii="Times New Roman" w:hAnsi="Times New Roman" w:cs="Times New Roman"/>
                <w:b/>
                <w:bCs/>
              </w:rPr>
              <w:t>Комментарии НАПФ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Ст.4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Н</w:t>
            </w:r>
            <w:r w:rsidRPr="00CC4A68">
              <w:rPr>
                <w:rFonts w:ascii="Times New Roman" w:hAnsi="Times New Roman" w:cs="Times New Roman"/>
              </w:rPr>
              <w:t>еобходимо отразить уточнения по следующим субъектам системы гарантирования - «вкладчикам» и «участникам». В частности</w:t>
            </w:r>
            <w:r w:rsidR="0059683A">
              <w:rPr>
                <w:rFonts w:ascii="Times New Roman" w:hAnsi="Times New Roman" w:cs="Times New Roman"/>
              </w:rPr>
              <w:t>,</w:t>
            </w:r>
            <w:r w:rsidRPr="00CC4A68">
              <w:rPr>
                <w:rFonts w:ascii="Times New Roman" w:hAnsi="Times New Roman" w:cs="Times New Roman"/>
              </w:rPr>
              <w:t xml:space="preserve"> раскрыть, что «вкладчиками» являются исключительно физические лица, заключившие договоры негосударственного пенсионного обеспечения с НПФ, а также понятие «участники» дополнить указанием на то, что речь идет об участниках по договорам с физическими лицами. Таким образом, </w:t>
            </w:r>
            <w:r w:rsidRPr="00CC4A68">
              <w:rPr>
                <w:rFonts w:ascii="Times New Roman" w:hAnsi="Times New Roman" w:cs="Times New Roman"/>
              </w:rPr>
              <w:t>считаем</w:t>
            </w:r>
            <w:r w:rsidRPr="00CC4A68">
              <w:rPr>
                <w:rFonts w:ascii="Times New Roman" w:hAnsi="Times New Roman" w:cs="Times New Roman"/>
              </w:rPr>
              <w:t xml:space="preserve"> целесообразным распространение системы исключительно на пенсионные договоры, заключенные с вкладчиками - физическими лицами.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П.</w:t>
            </w:r>
            <w:r w:rsidRPr="00CC4A68">
              <w:rPr>
                <w:rFonts w:ascii="Times New Roman" w:hAnsi="Times New Roman" w:cs="Times New Roman"/>
              </w:rPr>
              <w:t>1 ст.11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Согласно данному пункту </w:t>
            </w:r>
            <w:r w:rsidRPr="00CC4A68">
              <w:rPr>
                <w:rFonts w:ascii="Times New Roman" w:hAnsi="Times New Roman" w:cs="Times New Roman"/>
              </w:rPr>
              <w:t xml:space="preserve">при наступлении гарантийного случая возмещению подлежат пенсионные взносы вкладчиков, фактически поступившие в фонд-участник, но не более 1,4 млн руб. При этом не упоминается информация о начисленном инвестиционном доходе на поступившие пенсионные взносы. </w:t>
            </w:r>
            <w:r w:rsidRPr="00CC4A68">
              <w:rPr>
                <w:rFonts w:ascii="Times New Roman" w:hAnsi="Times New Roman" w:cs="Times New Roman"/>
              </w:rPr>
              <w:t>Считаем</w:t>
            </w:r>
            <w:r w:rsidRPr="00CC4A68">
              <w:rPr>
                <w:rFonts w:ascii="Times New Roman" w:hAnsi="Times New Roman" w:cs="Times New Roman"/>
              </w:rPr>
              <w:t xml:space="preserve"> необходимым включить в суммарный размер гарантийного возмещения, не превышающий 1,4 млн руб., начисленный инвестиционный доход (при его наличии).</w:t>
            </w:r>
          </w:p>
        </w:tc>
      </w:tr>
      <w:tr w:rsidR="00CC4A68" w:rsidTr="00861728">
        <w:tc>
          <w:tcPr>
            <w:tcW w:w="851" w:type="dxa"/>
          </w:tcPr>
          <w:p w:rsidR="00CC4A6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C4A6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П.2 ст.21</w:t>
            </w:r>
          </w:p>
        </w:tc>
        <w:tc>
          <w:tcPr>
            <w:tcW w:w="7654" w:type="dxa"/>
          </w:tcPr>
          <w:p w:rsidR="00CC4A6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Согласно </w:t>
            </w:r>
            <w:r w:rsidRPr="00CC4A68">
              <w:rPr>
                <w:rFonts w:ascii="Times New Roman" w:hAnsi="Times New Roman" w:cs="Times New Roman"/>
              </w:rPr>
              <w:t>данному пункту</w:t>
            </w:r>
            <w:r w:rsidRPr="00CC4A68">
              <w:rPr>
                <w:rFonts w:ascii="Times New Roman" w:hAnsi="Times New Roman" w:cs="Times New Roman"/>
              </w:rPr>
              <w:t>, Расчетной базой для исчисления гарантийных взносов, подлежащих уплате фондом-участником, является стоимость обязательств по договорам негосударственного пенсионного обеспечения, отраженная в актуарном заключении, подготовленном по итогам проведения актуарного оценивания деятельности фонда-участника за отчетный год.</w:t>
            </w:r>
            <w:r w:rsidRPr="00CC4A68">
              <w:rPr>
                <w:rFonts w:ascii="Times New Roman" w:hAnsi="Times New Roman" w:cs="Times New Roman"/>
              </w:rPr>
              <w:t xml:space="preserve"> </w:t>
            </w:r>
            <w:r w:rsidRPr="00CC4A68">
              <w:rPr>
                <w:rFonts w:ascii="Times New Roman" w:hAnsi="Times New Roman" w:cs="Times New Roman"/>
              </w:rPr>
              <w:t>В то же время, значительная часть пенсионных резервов НПФ сформирована из взносов вкладчиков - юридических лиц, реализующих свои корпоративные пенсионные программы и тщательно контролирующих риски при выборе НПФ для своей пенсионной программы. Введение уплаты гарантийных взносов с пенсионных резервов вкладчиков-юридических лиц приведет к снижению размера дохода</w:t>
            </w:r>
            <w:r w:rsidR="009578D0">
              <w:rPr>
                <w:rFonts w:ascii="Times New Roman" w:hAnsi="Times New Roman" w:cs="Times New Roman"/>
              </w:rPr>
              <w:t>,</w:t>
            </w:r>
            <w:r w:rsidRPr="00CC4A68">
              <w:rPr>
                <w:rFonts w:ascii="Times New Roman" w:hAnsi="Times New Roman" w:cs="Times New Roman"/>
              </w:rPr>
              <w:t xml:space="preserve"> распределяемого на пенсионные счета участников, что в условиях снижающейся доходности инвестирования негативно отразится на динамике коэффициента замещения по участникам, которым назначена негосударственная пенсия.</w:t>
            </w:r>
            <w:r w:rsidRPr="00CC4A68">
              <w:rPr>
                <w:rFonts w:ascii="Times New Roman" w:hAnsi="Times New Roman" w:cs="Times New Roman"/>
              </w:rPr>
              <w:t xml:space="preserve"> </w:t>
            </w:r>
            <w:r w:rsidRPr="00CC4A68">
              <w:rPr>
                <w:rFonts w:ascii="Times New Roman" w:hAnsi="Times New Roman" w:cs="Times New Roman"/>
              </w:rPr>
              <w:t>Необходимо отметить, что данный подход реализован в банковском секторе, где гарантийному возмещению из АСВ подлежат только депозиты физических лиц</w:t>
            </w:r>
            <w:r w:rsidRPr="00CC4A68">
              <w:rPr>
                <w:rFonts w:ascii="Times New Roman" w:hAnsi="Times New Roman" w:cs="Times New Roman"/>
              </w:rPr>
              <w:t xml:space="preserve">. </w:t>
            </w:r>
            <w:r w:rsidRPr="00CC4A68">
              <w:rPr>
                <w:rFonts w:ascii="Times New Roman" w:hAnsi="Times New Roman" w:cs="Times New Roman"/>
              </w:rPr>
              <w:t>Учитывая это, предлагаем расчетной базой для исчисления гарантийных взносов считать стоимость обязательств по договорам негосударственного пенсионного обеспечения, вкладчиками по которым выступают физические лица</w:t>
            </w:r>
            <w:r w:rsidR="009578D0">
              <w:rPr>
                <w:rFonts w:ascii="Times New Roman" w:hAnsi="Times New Roman" w:cs="Times New Roman"/>
              </w:rPr>
              <w:t>.</w:t>
            </w:r>
            <w:r w:rsidRPr="00CC4A68">
              <w:rPr>
                <w:rFonts w:ascii="Times New Roman" w:hAnsi="Times New Roman" w:cs="Times New Roman"/>
              </w:rPr>
              <w:t xml:space="preserve"> и исчислять с момента вступления в силу Федерального закона «О гарантировании прав участников негосударственных пенсионных фондов в рамках деятельности по негосударственному пенсионному обеспечению и о внесении изменений в отдельные законодательные акты Российской Федерации».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П.6 ст.21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В соответствии с </w:t>
            </w:r>
            <w:r w:rsidRPr="00CC4A68">
              <w:rPr>
                <w:rFonts w:ascii="Times New Roman" w:hAnsi="Times New Roman" w:cs="Times New Roman"/>
              </w:rPr>
              <w:t>данным пунктом законопроекта</w:t>
            </w:r>
            <w:r w:rsidRPr="00CC4A68">
              <w:rPr>
                <w:rFonts w:ascii="Times New Roman" w:hAnsi="Times New Roman" w:cs="Times New Roman"/>
              </w:rPr>
              <w:t xml:space="preserve"> финансовое положение фонда-участника для целей расчета индивидуального коэффициента оценивается Банком России на основании результатов стресс-тестирования с использованием сценариев, разработанных и утвержденных Банком России, а также результатов оценки качества активов, в которые размещены средства </w:t>
            </w:r>
            <w:r w:rsidRPr="00CC4A68">
              <w:rPr>
                <w:rFonts w:ascii="Times New Roman" w:hAnsi="Times New Roman" w:cs="Times New Roman"/>
              </w:rPr>
              <w:lastRenderedPageBreak/>
              <w:t>пенсионных резервов. Считаем нецелесообразным использовать результаты стресс-тестирования для определения ставки отчисления в АСВ по следующим причинам:</w:t>
            </w:r>
          </w:p>
          <w:p w:rsidR="00861728" w:rsidRPr="00CC4A68" w:rsidRDefault="00861728" w:rsidP="00861728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Значительное влияние на результаты стресс-тестирования оказывает качество и объем активов пенсионных накоплений, а в случае, если объем пенсионных накоплений значительно превышает объем пенсионных резервов, то качество активов пенсионных накоплений будет определяющим для результатов стресс-тестирования. При этом в рамках ОПС предусмотрена иная система отчислений в АСВ.</w:t>
            </w:r>
          </w:p>
          <w:p w:rsidR="00861728" w:rsidRPr="00CC4A68" w:rsidRDefault="00861728" w:rsidP="00861728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Результаты стресс-тестирования определяются двумя составляющими: качеством активов и размером собственных средств. Таким образом, при большом размере собственных средств фонды могут иметь плохое качество активов, при этом будут обеспечиваться хорошие результаты стресс-тестирования. Такой фонд потенциально будет находиться в зоне риска в случае сокращения размера собственных средств. С другой стороны, сокращение собственных средств будет приводить к росту коэффициента и к дополнительному сокращению их размера, что может свидетельствовать о негативном влиянии предложенной системы на устойчивость фондов в целом.</w:t>
            </w:r>
          </w:p>
          <w:p w:rsidR="00861728" w:rsidRPr="00CC4A68" w:rsidRDefault="00861728" w:rsidP="009578D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Также считаем неоправданным применение индивидуальных коэффициентов, основанных только на качестве активов пенсионных резервов</w:t>
            </w:r>
            <w:r w:rsidR="009578D0">
              <w:rPr>
                <w:rFonts w:ascii="Times New Roman" w:hAnsi="Times New Roman" w:cs="Times New Roman"/>
              </w:rPr>
              <w:t xml:space="preserve">, </w:t>
            </w:r>
            <w:r w:rsidRPr="00CC4A68">
              <w:rPr>
                <w:rFonts w:ascii="Times New Roman" w:hAnsi="Times New Roman" w:cs="Times New Roman"/>
              </w:rPr>
              <w:t>по следующим причинам:</w:t>
            </w:r>
          </w:p>
          <w:p w:rsidR="00861728" w:rsidRPr="00CC4A68" w:rsidRDefault="00861728" w:rsidP="00861728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Порядок размещения средств пенсионных резервов жёстко регламентирован (доля рискованных активов ограничена 10%, а с 2024 года - 7% для всех).</w:t>
            </w:r>
          </w:p>
          <w:p w:rsidR="00861728" w:rsidRPr="00CC4A68" w:rsidRDefault="00861728" w:rsidP="00861728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Ввиду разнообразия активов возможная формализация критериев оценки рискованности активов будет содержать элемент субъективности.</w:t>
            </w:r>
          </w:p>
          <w:p w:rsidR="00861728" w:rsidRPr="00CC4A68" w:rsidRDefault="00861728" w:rsidP="00861728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Такой подход будет косвенно влиять на стратегию размещения средств пенсионных резервов у фондов с низким запасом капитала (будет стимулировать их к применению более консервативных стратегий в условиях растущего рынка, для целей сокращения расходов).</w:t>
            </w:r>
          </w:p>
          <w:p w:rsidR="00861728" w:rsidRPr="00CC4A68" w:rsidRDefault="00861728" w:rsidP="009578D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Таким образом, считаем необходимым исключить из законопроекта норму о применении указанных индивидуальных коэффициентов.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</w:t>
            </w:r>
            <w:r w:rsidRPr="00CC4A68">
              <w:rPr>
                <w:rFonts w:ascii="Times New Roman" w:hAnsi="Times New Roman" w:cs="Times New Roman"/>
              </w:rPr>
              <w:t>.2 ст.27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В данном пункте </w:t>
            </w:r>
            <w:r w:rsidRPr="00CC4A68">
              <w:rPr>
                <w:rFonts w:ascii="Times New Roman" w:hAnsi="Times New Roman" w:cs="Times New Roman"/>
              </w:rPr>
              <w:t>в расшифровку понятий «остаток средств на пенсионном счете» и «сохранность пенсионных резервов» следует включить упоминание «иных операций зачисления и списания», поскольку возможны переводы между индивидуальными пенсионными счетами в соответствии с установленным порядком правопреемства, а также иные случаи, предусмотренные пенсионными правилами и договорами. В аналогичном дополнении нуждается описание процедуры восполнения и в п.8 ст.27.</w:t>
            </w:r>
          </w:p>
        </w:tc>
      </w:tr>
      <w:tr w:rsidR="00CC4A68" w:rsidTr="00861728">
        <w:tc>
          <w:tcPr>
            <w:tcW w:w="851" w:type="dxa"/>
          </w:tcPr>
          <w:p w:rsidR="00CC4A6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C4A6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П.4 ст.27</w:t>
            </w:r>
          </w:p>
        </w:tc>
        <w:tc>
          <w:tcPr>
            <w:tcW w:w="7654" w:type="dxa"/>
          </w:tcPr>
          <w:p w:rsidR="00CC4A68" w:rsidRPr="00CC4A68" w:rsidRDefault="00CC4A68" w:rsidP="0047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Согласно пункту 4 статьи 27 Законопроекта, Банк России вправе аннулировать лицензию фонда,  если на 1 января 2027 года фонд не внесен государственной корпорацией «Агентство по страхованию вкладов» в реестр фондов - участников системы гарантирования прав участников или если после 1 января 2027 года Банком России вынесено отрицательное заключение о соответствии негосударственного пенсионного фонда требованиям статьи 25 Федерального закона «О гарантировании прав участников негосударственных пенсионных фондов в рамках деятельности по негосударственному пенсионному обеспечению и о внесении изменений в отдельные законодательные акты Российской Федерации». Учитывая, что лицензия имеет отношение не только к негосударственному пенсионному обеспечению, но и к обязательному пенсионному страхованию, ее аннулирование, по причинам указанным выше, </w:t>
            </w:r>
            <w:r w:rsidRPr="00CC4A68">
              <w:rPr>
                <w:rFonts w:ascii="Times New Roman" w:hAnsi="Times New Roman" w:cs="Times New Roman"/>
              </w:rPr>
              <w:lastRenderedPageBreak/>
              <w:t>фактически будет означать</w:t>
            </w:r>
            <w:r w:rsidR="00471649">
              <w:rPr>
                <w:rFonts w:ascii="Times New Roman" w:hAnsi="Times New Roman" w:cs="Times New Roman"/>
              </w:rPr>
              <w:t>,</w:t>
            </w:r>
            <w:r w:rsidRPr="00CC4A68">
              <w:rPr>
                <w:rFonts w:ascii="Times New Roman" w:hAnsi="Times New Roman" w:cs="Times New Roman"/>
              </w:rPr>
              <w:t xml:space="preserve"> что фонд будет не вправе осуществлять деятельность по обязательному пенсионному страхованию. Это, в свою очередь, может привести к ущемлению прав застрахованных лиц по договорам обязательного пенсионного страхования. Таким образом, считае</w:t>
            </w:r>
            <w:r w:rsidR="00471649">
              <w:rPr>
                <w:rFonts w:ascii="Times New Roman" w:hAnsi="Times New Roman" w:cs="Times New Roman"/>
              </w:rPr>
              <w:t>м</w:t>
            </w:r>
            <w:r w:rsidRPr="00CC4A68">
              <w:rPr>
                <w:rFonts w:ascii="Times New Roman" w:hAnsi="Times New Roman" w:cs="Times New Roman"/>
              </w:rPr>
              <w:t xml:space="preserve"> возможным предложить применение аналогичного порядка, закрепленного в статье 21 Федерального закона  №</w:t>
            </w:r>
            <w:r w:rsidR="00471649">
              <w:rPr>
                <w:rFonts w:ascii="Times New Roman" w:hAnsi="Times New Roman" w:cs="Times New Roman"/>
              </w:rPr>
              <w:t xml:space="preserve"> </w:t>
            </w:r>
            <w:r w:rsidRPr="00CC4A68">
              <w:rPr>
                <w:rFonts w:ascii="Times New Roman" w:hAnsi="Times New Roman" w:cs="Times New Roman"/>
              </w:rPr>
              <w:t xml:space="preserve">422-ФЗ от 28.12.2013 «О гарантировании прав застрахованных лиц в системе обязательного пенсионного страхования РФ при формировании и инвестировании средств пенсионных накоплений, установлении и осуществлении выплат за счет средств пенсионных накоплений», установив запрет на осуществление операций фонда по негосударственному пенсионному обеспечению в порядке, установленном нормативными актами Банка России, без аннулирования лицензии фонда на осуществление деятельности по пенсионному обеспечению и пенсионному страхованию. 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П</w:t>
            </w:r>
            <w:r w:rsidRPr="00CC4A68">
              <w:rPr>
                <w:rFonts w:ascii="Times New Roman" w:hAnsi="Times New Roman" w:cs="Times New Roman"/>
              </w:rPr>
              <w:t>.8 ст.27</w:t>
            </w:r>
          </w:p>
        </w:tc>
        <w:tc>
          <w:tcPr>
            <w:tcW w:w="7654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 xml:space="preserve">В соответствии с данным пунктом </w:t>
            </w:r>
            <w:r w:rsidRPr="00CC4A68">
              <w:rPr>
                <w:rFonts w:ascii="Times New Roman" w:hAnsi="Times New Roman" w:cs="Times New Roman"/>
              </w:rPr>
              <w:t>фонд приобретает право отражать убыток от размещения пенсионных резервов на пенсионных счетах негосударственного пенсионного обеспечения (НПО) в случаях, если это предусмотрено пенсионными правилами и пенсионным договором. При такой формулировке у фондов возникает необходимость подписания дополнительных соглашений с действующими вкладчиками. Если речь идет о физических лицах, это могут быть десятки тысяч договоров, что требует существенных финансовых и трудозатрат. Предлагаем скорректировать данную формулировку следующим образом: «Фонд имеет право отражать убыток от размещения пенсионных резервов на пенсионных счетах негосударственного пенсионного обеспечения, если иное не предусмотрено пенсионными правилами и пенсионным договором».</w:t>
            </w:r>
          </w:p>
        </w:tc>
      </w:tr>
      <w:tr w:rsidR="00861728" w:rsidTr="00861728">
        <w:tc>
          <w:tcPr>
            <w:tcW w:w="851" w:type="dxa"/>
          </w:tcPr>
          <w:p w:rsidR="00861728" w:rsidRPr="00CC4A68" w:rsidRDefault="00CC4A6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861728" w:rsidRPr="00CC4A68" w:rsidRDefault="00861728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4A68">
              <w:rPr>
                <w:rFonts w:ascii="Times New Roman" w:hAnsi="Times New Roman" w:cs="Times New Roman"/>
              </w:rPr>
              <w:t>Ст.29</w:t>
            </w:r>
          </w:p>
        </w:tc>
        <w:tc>
          <w:tcPr>
            <w:tcW w:w="7654" w:type="dxa"/>
          </w:tcPr>
          <w:p w:rsidR="00861728" w:rsidRPr="00CC4A68" w:rsidRDefault="00471649" w:rsidP="008617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1728" w:rsidRPr="00CC4A68">
              <w:rPr>
                <w:rFonts w:ascii="Times New Roman" w:hAnsi="Times New Roman" w:cs="Times New Roman"/>
              </w:rPr>
              <w:t>и в одном из пунктов</w:t>
            </w:r>
            <w:r>
              <w:rPr>
                <w:rFonts w:ascii="Times New Roman" w:hAnsi="Times New Roman" w:cs="Times New Roman"/>
              </w:rPr>
              <w:t xml:space="preserve"> данной статьи</w:t>
            </w:r>
            <w:r w:rsidR="00861728" w:rsidRPr="00CC4A68">
              <w:rPr>
                <w:rFonts w:ascii="Times New Roman" w:hAnsi="Times New Roman" w:cs="Times New Roman"/>
              </w:rPr>
              <w:t xml:space="preserve"> не отражено положение участников по пенсионным договорам, действующим на дату вступления </w:t>
            </w:r>
            <w:r w:rsidR="00861728" w:rsidRPr="00CC4A68">
              <w:rPr>
                <w:rFonts w:ascii="Times New Roman" w:hAnsi="Times New Roman" w:cs="Times New Roman"/>
              </w:rPr>
              <w:t>з</w:t>
            </w:r>
            <w:r w:rsidR="00861728" w:rsidRPr="00CC4A68">
              <w:rPr>
                <w:rFonts w:ascii="Times New Roman" w:hAnsi="Times New Roman" w:cs="Times New Roman"/>
              </w:rPr>
              <w:t xml:space="preserve">аконопроекта в силу. Целесообразно включить в систему гарантирования обязательства по пенсионным договорам, правоотношения по которым возникли до вступления </w:t>
            </w:r>
            <w:r w:rsidR="00861728" w:rsidRPr="00CC4A68">
              <w:rPr>
                <w:rFonts w:ascii="Times New Roman" w:hAnsi="Times New Roman" w:cs="Times New Roman"/>
              </w:rPr>
              <w:t>з</w:t>
            </w:r>
            <w:r w:rsidR="00861728" w:rsidRPr="00CC4A68">
              <w:rPr>
                <w:rFonts w:ascii="Times New Roman" w:hAnsi="Times New Roman" w:cs="Times New Roman"/>
              </w:rPr>
              <w:t>аконопроекта в силу.</w:t>
            </w:r>
          </w:p>
        </w:tc>
      </w:tr>
    </w:tbl>
    <w:p w:rsidR="00861728" w:rsidRDefault="00861728" w:rsidP="0086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AB" w:rsidRDefault="001F6729"/>
    <w:sectPr w:rsidR="001438AB" w:rsidSect="0086172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729" w:rsidRDefault="001F6729" w:rsidP="0059683A">
      <w:pPr>
        <w:spacing w:after="0" w:line="240" w:lineRule="auto"/>
      </w:pPr>
      <w:r>
        <w:separator/>
      </w:r>
    </w:p>
  </w:endnote>
  <w:endnote w:type="continuationSeparator" w:id="0">
    <w:p w:rsidR="001F6729" w:rsidRDefault="001F6729" w:rsidP="0059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425190924"/>
      <w:docPartObj>
        <w:docPartGallery w:val="Page Numbers (Bottom of Page)"/>
        <w:docPartUnique/>
      </w:docPartObj>
    </w:sdtPr>
    <w:sdtContent>
      <w:p w:rsidR="0059683A" w:rsidRDefault="0059683A" w:rsidP="00F21AE9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9683A" w:rsidRDefault="0059683A" w:rsidP="005968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83A" w:rsidRDefault="0059683A" w:rsidP="005968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729" w:rsidRDefault="001F6729" w:rsidP="0059683A">
      <w:pPr>
        <w:spacing w:after="0" w:line="240" w:lineRule="auto"/>
      </w:pPr>
      <w:r>
        <w:separator/>
      </w:r>
    </w:p>
  </w:footnote>
  <w:footnote w:type="continuationSeparator" w:id="0">
    <w:p w:rsidR="001F6729" w:rsidRDefault="001F6729" w:rsidP="0059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1179736077"/>
      <w:docPartObj>
        <w:docPartGallery w:val="Page Numbers (Top of Page)"/>
        <w:docPartUnique/>
      </w:docPartObj>
    </w:sdtPr>
    <w:sdtContent>
      <w:p w:rsidR="0059683A" w:rsidRDefault="0059683A" w:rsidP="00F21AE9">
        <w:pPr>
          <w:pStyle w:val="a8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9683A" w:rsidRDefault="0059683A" w:rsidP="0059683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1933013083"/>
      <w:docPartObj>
        <w:docPartGallery w:val="Page Numbers (Top of Page)"/>
        <w:docPartUnique/>
      </w:docPartObj>
    </w:sdtPr>
    <w:sdtContent>
      <w:p w:rsidR="0059683A" w:rsidRDefault="0059683A" w:rsidP="00F21AE9">
        <w:pPr>
          <w:pStyle w:val="a8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59683A" w:rsidRDefault="0059683A" w:rsidP="005968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4797"/>
    <w:multiLevelType w:val="hybridMultilevel"/>
    <w:tmpl w:val="521C7B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28"/>
    <w:rsid w:val="001A0F86"/>
    <w:rsid w:val="001F6729"/>
    <w:rsid w:val="00471649"/>
    <w:rsid w:val="0059683A"/>
    <w:rsid w:val="00861728"/>
    <w:rsid w:val="00872E24"/>
    <w:rsid w:val="009578D0"/>
    <w:rsid w:val="00C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AA7F1"/>
  <w15:chartTrackingRefBased/>
  <w15:docId w15:val="{9D8B49D8-76CA-AB45-B22B-8FC080C8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2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72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9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83A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59683A"/>
  </w:style>
  <w:style w:type="paragraph" w:styleId="a8">
    <w:name w:val="header"/>
    <w:basedOn w:val="a"/>
    <w:link w:val="a9"/>
    <w:uiPriority w:val="99"/>
    <w:unhideWhenUsed/>
    <w:rsid w:val="0059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8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2020-12-01T08:36:00Z</dcterms:created>
  <dcterms:modified xsi:type="dcterms:W3CDTF">2020-12-01T09:22:00Z</dcterms:modified>
</cp:coreProperties>
</file>