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B5EF2" w14:textId="46D38DB9" w:rsidR="00A279A8" w:rsidRPr="003C0AFC" w:rsidRDefault="00A279A8" w:rsidP="00A279A8">
      <w:pPr>
        <w:jc w:val="right"/>
        <w:rPr>
          <w:rFonts w:ascii="Times New Roman" w:hAnsi="Times New Roman" w:cs="Times New Roman"/>
          <w:sz w:val="22"/>
        </w:rPr>
      </w:pPr>
      <w:bookmarkStart w:id="0" w:name="_GoBack"/>
      <w:bookmarkEnd w:id="0"/>
      <w:r w:rsidRPr="003C0AFC">
        <w:rPr>
          <w:rFonts w:ascii="Times New Roman" w:hAnsi="Times New Roman" w:cs="Times New Roman"/>
          <w:sz w:val="22"/>
        </w:rPr>
        <w:t>Приложение</w:t>
      </w:r>
      <w:r w:rsidR="001E0808" w:rsidRPr="003C0AFC">
        <w:rPr>
          <w:rFonts w:ascii="Times New Roman" w:hAnsi="Times New Roman" w:cs="Times New Roman"/>
          <w:sz w:val="22"/>
        </w:rPr>
        <w:t xml:space="preserve"> 1</w:t>
      </w:r>
    </w:p>
    <w:p w14:paraId="5D464E9E" w14:textId="57C1F4A7" w:rsidR="00A279A8" w:rsidRPr="003C0AFC" w:rsidRDefault="001E0808" w:rsidP="00A279A8">
      <w:pPr>
        <w:jc w:val="center"/>
        <w:rPr>
          <w:rFonts w:ascii="Times New Roman" w:hAnsi="Times New Roman" w:cs="Times New Roman"/>
          <w:b/>
        </w:rPr>
      </w:pPr>
      <w:r w:rsidRPr="003C0AFC">
        <w:rPr>
          <w:rFonts w:ascii="Times New Roman" w:hAnsi="Times New Roman" w:cs="Times New Roman"/>
          <w:b/>
        </w:rPr>
        <w:t xml:space="preserve"> </w:t>
      </w:r>
    </w:p>
    <w:p w14:paraId="6D42E208" w14:textId="77777777" w:rsidR="002E5919" w:rsidRPr="003C0AFC" w:rsidRDefault="00A279A8" w:rsidP="00A279A8">
      <w:pPr>
        <w:jc w:val="center"/>
        <w:rPr>
          <w:rFonts w:ascii="Times New Roman" w:hAnsi="Times New Roman" w:cs="Times New Roman"/>
          <w:b/>
        </w:rPr>
      </w:pPr>
      <w:r w:rsidRPr="003C0AFC">
        <w:rPr>
          <w:rFonts w:ascii="Times New Roman" w:hAnsi="Times New Roman" w:cs="Times New Roman"/>
          <w:b/>
        </w:rPr>
        <w:t>Предложения к законопроекту</w:t>
      </w:r>
    </w:p>
    <w:tbl>
      <w:tblPr>
        <w:tblpPr w:leftFromText="180" w:rightFromText="180" w:vertAnchor="text" w:horzAnchor="page" w:tblpXSpec="center" w:tblpY="756"/>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3543"/>
        <w:gridCol w:w="5977"/>
        <w:gridCol w:w="4945"/>
      </w:tblGrid>
      <w:tr w:rsidR="003C0AFC" w:rsidRPr="003C0AFC" w14:paraId="19D8FBD9" w14:textId="77777777" w:rsidTr="00A279A8">
        <w:trPr>
          <w:trHeight w:val="70"/>
          <w:jc w:val="center"/>
        </w:trPr>
        <w:tc>
          <w:tcPr>
            <w:tcW w:w="985" w:type="dxa"/>
          </w:tcPr>
          <w:p w14:paraId="39E6368E" w14:textId="77777777" w:rsidR="00A279A8" w:rsidRPr="003C0AFC" w:rsidRDefault="00A279A8" w:rsidP="000949DF">
            <w:pPr>
              <w:pStyle w:val="a3"/>
              <w:jc w:val="center"/>
              <w:rPr>
                <w:b/>
                <w:spacing w:val="-2"/>
                <w:szCs w:val="24"/>
              </w:rPr>
            </w:pPr>
          </w:p>
          <w:p w14:paraId="4FC7C3EC" w14:textId="77777777" w:rsidR="00A279A8" w:rsidRPr="003C0AFC" w:rsidRDefault="00A279A8" w:rsidP="000949DF">
            <w:pPr>
              <w:pStyle w:val="a3"/>
              <w:jc w:val="center"/>
              <w:rPr>
                <w:b/>
                <w:spacing w:val="-2"/>
                <w:szCs w:val="24"/>
              </w:rPr>
            </w:pPr>
            <w:r w:rsidRPr="003C0AFC">
              <w:rPr>
                <w:b/>
                <w:spacing w:val="-2"/>
                <w:szCs w:val="24"/>
              </w:rPr>
              <w:t>№ п/п</w:t>
            </w:r>
          </w:p>
        </w:tc>
        <w:tc>
          <w:tcPr>
            <w:tcW w:w="3543" w:type="dxa"/>
          </w:tcPr>
          <w:p w14:paraId="3DB40283" w14:textId="77777777" w:rsidR="00A279A8" w:rsidRPr="003C0AFC" w:rsidRDefault="00A279A8" w:rsidP="000949DF">
            <w:pPr>
              <w:pStyle w:val="a3"/>
              <w:jc w:val="center"/>
              <w:rPr>
                <w:b/>
                <w:spacing w:val="-2"/>
                <w:szCs w:val="24"/>
              </w:rPr>
            </w:pPr>
          </w:p>
          <w:p w14:paraId="3DD123E5" w14:textId="77777777" w:rsidR="00A279A8" w:rsidRPr="003C0AFC" w:rsidRDefault="00A279A8" w:rsidP="000949DF">
            <w:pPr>
              <w:pStyle w:val="a3"/>
              <w:jc w:val="center"/>
              <w:rPr>
                <w:b/>
                <w:spacing w:val="-2"/>
                <w:szCs w:val="24"/>
              </w:rPr>
            </w:pPr>
            <w:r w:rsidRPr="003C0AFC">
              <w:rPr>
                <w:b/>
                <w:spacing w:val="-2"/>
                <w:szCs w:val="24"/>
              </w:rPr>
              <w:t>Текущая редакция Проекта</w:t>
            </w:r>
          </w:p>
          <w:p w14:paraId="1B5AECE6" w14:textId="77777777" w:rsidR="00A279A8" w:rsidRPr="003C0AFC" w:rsidRDefault="00A279A8" w:rsidP="000949DF">
            <w:pPr>
              <w:pStyle w:val="a3"/>
              <w:jc w:val="center"/>
              <w:rPr>
                <w:b/>
                <w:spacing w:val="-2"/>
                <w:szCs w:val="24"/>
              </w:rPr>
            </w:pPr>
          </w:p>
        </w:tc>
        <w:tc>
          <w:tcPr>
            <w:tcW w:w="5977" w:type="dxa"/>
          </w:tcPr>
          <w:p w14:paraId="0A3EEBD4" w14:textId="77777777" w:rsidR="00A279A8" w:rsidRPr="003C0AFC" w:rsidRDefault="00A279A8" w:rsidP="000949DF">
            <w:pPr>
              <w:pStyle w:val="a3"/>
              <w:jc w:val="center"/>
              <w:rPr>
                <w:b/>
                <w:spacing w:val="-2"/>
                <w:szCs w:val="24"/>
              </w:rPr>
            </w:pPr>
          </w:p>
          <w:p w14:paraId="2AE9E74E" w14:textId="77777777" w:rsidR="00A279A8" w:rsidRPr="003C0AFC" w:rsidRDefault="00A279A8" w:rsidP="000949DF">
            <w:pPr>
              <w:pStyle w:val="a3"/>
              <w:jc w:val="center"/>
              <w:rPr>
                <w:b/>
                <w:spacing w:val="-2"/>
                <w:szCs w:val="24"/>
              </w:rPr>
            </w:pPr>
            <w:r w:rsidRPr="003C0AFC">
              <w:rPr>
                <w:b/>
                <w:spacing w:val="-2"/>
                <w:szCs w:val="24"/>
              </w:rPr>
              <w:t>Предлагаемая редакция</w:t>
            </w:r>
          </w:p>
        </w:tc>
        <w:tc>
          <w:tcPr>
            <w:tcW w:w="4945" w:type="dxa"/>
          </w:tcPr>
          <w:p w14:paraId="6A5B5328" w14:textId="77777777" w:rsidR="00A279A8" w:rsidRPr="003C0AFC" w:rsidRDefault="00A279A8" w:rsidP="000949DF">
            <w:pPr>
              <w:pStyle w:val="a3"/>
              <w:ind w:right="-2501"/>
              <w:jc w:val="center"/>
              <w:rPr>
                <w:b/>
                <w:spacing w:val="-2"/>
                <w:szCs w:val="24"/>
              </w:rPr>
            </w:pPr>
          </w:p>
          <w:p w14:paraId="4DE508C1" w14:textId="64687A89" w:rsidR="000949DF" w:rsidRPr="003C0AFC" w:rsidRDefault="000949DF" w:rsidP="000949DF">
            <w:pPr>
              <w:pStyle w:val="a3"/>
              <w:ind w:right="-2501"/>
              <w:rPr>
                <w:b/>
                <w:spacing w:val="-2"/>
                <w:szCs w:val="24"/>
              </w:rPr>
            </w:pPr>
            <w:r w:rsidRPr="003C0AFC">
              <w:rPr>
                <w:b/>
                <w:spacing w:val="-2"/>
                <w:szCs w:val="24"/>
              </w:rPr>
              <w:t xml:space="preserve">                      Суть замечаний</w:t>
            </w:r>
            <w:r w:rsidR="00A279A8" w:rsidRPr="003C0AFC">
              <w:rPr>
                <w:b/>
                <w:spacing w:val="-2"/>
                <w:szCs w:val="24"/>
              </w:rPr>
              <w:t xml:space="preserve"> </w:t>
            </w:r>
          </w:p>
          <w:p w14:paraId="4C920BBC" w14:textId="1731C0CC" w:rsidR="00A279A8" w:rsidRPr="003C0AFC" w:rsidRDefault="000949DF" w:rsidP="000949DF">
            <w:pPr>
              <w:pStyle w:val="a3"/>
              <w:ind w:right="-2501"/>
              <w:rPr>
                <w:b/>
                <w:spacing w:val="-2"/>
                <w:szCs w:val="24"/>
              </w:rPr>
            </w:pPr>
            <w:r w:rsidRPr="003C0AFC">
              <w:rPr>
                <w:b/>
                <w:spacing w:val="-2"/>
                <w:szCs w:val="24"/>
              </w:rPr>
              <w:t xml:space="preserve">                       </w:t>
            </w:r>
            <w:r w:rsidR="00A279A8" w:rsidRPr="003C0AFC">
              <w:rPr>
                <w:b/>
                <w:spacing w:val="-2"/>
                <w:szCs w:val="24"/>
              </w:rPr>
              <w:t>и предложени</w:t>
            </w:r>
            <w:r w:rsidRPr="003C0AFC">
              <w:rPr>
                <w:b/>
                <w:spacing w:val="-2"/>
                <w:szCs w:val="24"/>
              </w:rPr>
              <w:t>й</w:t>
            </w:r>
          </w:p>
        </w:tc>
      </w:tr>
      <w:tr w:rsidR="003C0AFC" w:rsidRPr="003C0AFC" w14:paraId="5614B007" w14:textId="77777777" w:rsidTr="00A279A8">
        <w:trPr>
          <w:trHeight w:val="274"/>
          <w:jc w:val="center"/>
        </w:trPr>
        <w:tc>
          <w:tcPr>
            <w:tcW w:w="985" w:type="dxa"/>
          </w:tcPr>
          <w:p w14:paraId="3442716D" w14:textId="77777777" w:rsidR="00A279A8" w:rsidRPr="003C0AFC" w:rsidRDefault="00A279A8" w:rsidP="00A279A8">
            <w:pPr>
              <w:pStyle w:val="a3"/>
              <w:rPr>
                <w:spacing w:val="-2"/>
                <w:szCs w:val="24"/>
              </w:rPr>
            </w:pPr>
            <w:r w:rsidRPr="003C0AFC">
              <w:rPr>
                <w:spacing w:val="-2"/>
                <w:szCs w:val="24"/>
              </w:rPr>
              <w:t>1</w:t>
            </w:r>
          </w:p>
        </w:tc>
        <w:tc>
          <w:tcPr>
            <w:tcW w:w="3543" w:type="dxa"/>
          </w:tcPr>
          <w:p w14:paraId="740621E9" w14:textId="77777777" w:rsidR="00A279A8" w:rsidRPr="003C0AFC" w:rsidRDefault="00A279A8" w:rsidP="00A279A8">
            <w:pPr>
              <w:pStyle w:val="a3"/>
              <w:rPr>
                <w:spacing w:val="-2"/>
                <w:szCs w:val="24"/>
              </w:rPr>
            </w:pPr>
            <w:r w:rsidRPr="003C0AFC">
              <w:rPr>
                <w:spacing w:val="-2"/>
                <w:szCs w:val="24"/>
              </w:rPr>
              <w:t>Подпункт б) пункта 7 Статьи 3 Проекта:</w:t>
            </w:r>
          </w:p>
          <w:p w14:paraId="538A4384" w14:textId="77777777" w:rsidR="00A279A8" w:rsidRPr="003C0AFC" w:rsidRDefault="00A279A8" w:rsidP="00A279A8">
            <w:pPr>
              <w:pStyle w:val="a3"/>
              <w:rPr>
                <w:spacing w:val="-2"/>
                <w:szCs w:val="24"/>
              </w:rPr>
            </w:pPr>
          </w:p>
          <w:p w14:paraId="7A4D0201" w14:textId="77777777" w:rsidR="00A279A8" w:rsidRPr="003C0AFC" w:rsidRDefault="00A279A8" w:rsidP="00A279A8">
            <w:pPr>
              <w:jc w:val="both"/>
              <w:rPr>
                <w:rFonts w:ascii="Times New Roman" w:hAnsi="Times New Roman" w:cs="Times New Roman"/>
                <w:bCs/>
              </w:rPr>
            </w:pPr>
            <w:r w:rsidRPr="003C0AFC">
              <w:rPr>
                <w:rFonts w:ascii="Times New Roman" w:hAnsi="Times New Roman" w:cs="Times New Roman"/>
                <w:bCs/>
              </w:rPr>
              <w:t>б) абзац шестнадцатый изложить в следующей редакции:</w:t>
            </w:r>
          </w:p>
          <w:p w14:paraId="7752E582" w14:textId="77777777" w:rsidR="00A279A8" w:rsidRPr="003C0AFC" w:rsidRDefault="00A279A8" w:rsidP="00A279A8">
            <w:pPr>
              <w:ind w:firstLine="709"/>
              <w:jc w:val="both"/>
              <w:rPr>
                <w:rFonts w:ascii="Times New Roman" w:hAnsi="Times New Roman" w:cs="Times New Roman"/>
                <w:bCs/>
              </w:rPr>
            </w:pPr>
            <w:r w:rsidRPr="003C0AFC">
              <w:rPr>
                <w:rFonts w:ascii="Times New Roman" w:hAnsi="Times New Roman" w:cs="Times New Roman"/>
                <w:bCs/>
              </w:rPr>
              <w:t>«не являться лицом, связанным с фондом, специализированным депозитарием либо с связанными с ними лицами;»;</w:t>
            </w:r>
          </w:p>
          <w:p w14:paraId="423BA3E3" w14:textId="77777777" w:rsidR="00A279A8" w:rsidRPr="003C0AFC" w:rsidRDefault="00A279A8" w:rsidP="00A279A8">
            <w:pPr>
              <w:pStyle w:val="a3"/>
              <w:rPr>
                <w:spacing w:val="-2"/>
                <w:szCs w:val="24"/>
              </w:rPr>
            </w:pPr>
          </w:p>
          <w:p w14:paraId="050B1874" w14:textId="77777777" w:rsidR="00A279A8" w:rsidRPr="003C0AFC" w:rsidRDefault="00A279A8" w:rsidP="00A279A8">
            <w:pPr>
              <w:pStyle w:val="a3"/>
              <w:rPr>
                <w:spacing w:val="-2"/>
                <w:szCs w:val="24"/>
              </w:rPr>
            </w:pPr>
          </w:p>
        </w:tc>
        <w:tc>
          <w:tcPr>
            <w:tcW w:w="5977" w:type="dxa"/>
          </w:tcPr>
          <w:p w14:paraId="15B5DD94" w14:textId="77777777" w:rsidR="00A279A8" w:rsidRPr="003C0AFC" w:rsidRDefault="00A279A8" w:rsidP="00A279A8">
            <w:pPr>
              <w:jc w:val="both"/>
              <w:rPr>
                <w:rFonts w:ascii="Times New Roman" w:hAnsi="Times New Roman" w:cs="Times New Roman"/>
                <w:bCs/>
              </w:rPr>
            </w:pPr>
            <w:r w:rsidRPr="003C0AFC">
              <w:rPr>
                <w:rFonts w:ascii="Times New Roman" w:hAnsi="Times New Roman" w:cs="Times New Roman"/>
                <w:bCs/>
              </w:rPr>
              <w:t>б) абзац шестнадцатый изложить в следующей редакции:</w:t>
            </w:r>
          </w:p>
          <w:p w14:paraId="7D023C85" w14:textId="77777777" w:rsidR="00A279A8" w:rsidRPr="003C0AFC" w:rsidRDefault="00A279A8" w:rsidP="00A279A8">
            <w:pPr>
              <w:ind w:firstLine="709"/>
              <w:jc w:val="both"/>
              <w:rPr>
                <w:rFonts w:ascii="Times New Roman" w:hAnsi="Times New Roman" w:cs="Times New Roman"/>
                <w:bCs/>
              </w:rPr>
            </w:pPr>
            <w:r w:rsidRPr="003C0AFC">
              <w:rPr>
                <w:rFonts w:ascii="Times New Roman" w:hAnsi="Times New Roman" w:cs="Times New Roman"/>
                <w:bCs/>
              </w:rPr>
              <w:t>«не являться лицом, связанным с специализированным депозитарием либо с связанными с ними лицами;»;</w:t>
            </w:r>
          </w:p>
          <w:p w14:paraId="59D8BEA3" w14:textId="77777777" w:rsidR="00A279A8" w:rsidRPr="003C0AFC" w:rsidRDefault="00A279A8" w:rsidP="00A279A8">
            <w:pPr>
              <w:pStyle w:val="a3"/>
              <w:ind w:right="-2501"/>
              <w:rPr>
                <w:spacing w:val="-2"/>
                <w:szCs w:val="24"/>
              </w:rPr>
            </w:pPr>
          </w:p>
        </w:tc>
        <w:tc>
          <w:tcPr>
            <w:tcW w:w="4945" w:type="dxa"/>
          </w:tcPr>
          <w:p w14:paraId="6B166B06" w14:textId="6380333D" w:rsidR="00A279A8" w:rsidRPr="003C0AFC" w:rsidRDefault="00A279A8" w:rsidP="00783824">
            <w:pPr>
              <w:pStyle w:val="a3"/>
              <w:ind w:right="459"/>
              <w:rPr>
                <w:szCs w:val="24"/>
              </w:rPr>
            </w:pPr>
            <w:r w:rsidRPr="003C0AFC">
              <w:rPr>
                <w:szCs w:val="24"/>
              </w:rPr>
              <w:t xml:space="preserve">Законопроект вводит ограничение, которое не позволяет управляющим компаниям, осуществляющим инвестирование средств пенсионных накоплений, являться связанным лицом фонда или его связанных лиц. При этом негосударственные пенсионные фонды лишены права самостоятельно инвестировать средства пенсионных накоплений. </w:t>
            </w:r>
            <w:r w:rsidR="001D52DA" w:rsidRPr="003C0AFC">
              <w:rPr>
                <w:szCs w:val="24"/>
              </w:rPr>
              <w:t xml:space="preserve">Одновременно в силу действующих нормативных требований по фидуциарной ответственности </w:t>
            </w:r>
            <w:r w:rsidRPr="003C0AFC">
              <w:rPr>
                <w:szCs w:val="24"/>
              </w:rPr>
              <w:t xml:space="preserve">при организации инвестирования средств пенсионных накоплений </w:t>
            </w:r>
            <w:r w:rsidR="00783824" w:rsidRPr="003C0AFC">
              <w:rPr>
                <w:szCs w:val="24"/>
              </w:rPr>
              <w:t xml:space="preserve">фонд </w:t>
            </w:r>
            <w:r w:rsidRPr="003C0AFC">
              <w:rPr>
                <w:szCs w:val="24"/>
              </w:rPr>
              <w:t xml:space="preserve">должен обеспечивать приобретение и реализацию активов, составляющих пенсионные накопления, на наилучших доступных для фонда условиях (в том числе соотношения риска и ожидаемой доходности) приобретения и реализации активов на момент сделки. При нарушении указанных требований фонд обязан восполнить объем средств пенсионных накоплений на величину уменьшения средств или недополученного дохода из собственных </w:t>
            </w:r>
            <w:r w:rsidRPr="003C0AFC">
              <w:rPr>
                <w:szCs w:val="24"/>
              </w:rPr>
              <w:lastRenderedPageBreak/>
              <w:t>средств. При наличии указанных законодательных требований по фидуциарной ответственности фонда за организацию инвестирования средств пенсионных накоплений требование об отсутствии связанности фонда и управляющей компанией может лишить фонд возможности контролировать процесс инвестирования средств пенсионных накоплений. Таким образом, требование об отсутствии связанности фонда и управляющей компании при наличии фидуциарной ответственности фонда является избыточным</w:t>
            </w:r>
            <w:r w:rsidR="001D52DA" w:rsidRPr="003C0AFC">
              <w:rPr>
                <w:szCs w:val="24"/>
              </w:rPr>
              <w:t xml:space="preserve"> и потенциально несущим дополнительные риски для конечных выгодоприобретателей-застрахованных лиц</w:t>
            </w:r>
            <w:r w:rsidRPr="003C0AFC">
              <w:rPr>
                <w:szCs w:val="24"/>
              </w:rPr>
              <w:t>.</w:t>
            </w:r>
          </w:p>
        </w:tc>
      </w:tr>
      <w:tr w:rsidR="003C0AFC" w:rsidRPr="003C0AFC" w14:paraId="5DCB799B" w14:textId="77777777" w:rsidTr="00A279A8">
        <w:trPr>
          <w:trHeight w:val="274"/>
          <w:jc w:val="center"/>
        </w:trPr>
        <w:tc>
          <w:tcPr>
            <w:tcW w:w="985" w:type="dxa"/>
          </w:tcPr>
          <w:p w14:paraId="72B1D747" w14:textId="77777777" w:rsidR="00A279A8" w:rsidRPr="003C0AFC" w:rsidRDefault="00A279A8" w:rsidP="00A279A8">
            <w:pPr>
              <w:pStyle w:val="a3"/>
              <w:rPr>
                <w:spacing w:val="-2"/>
                <w:szCs w:val="24"/>
              </w:rPr>
            </w:pPr>
            <w:r w:rsidRPr="003C0AFC">
              <w:rPr>
                <w:spacing w:val="-2"/>
                <w:szCs w:val="24"/>
              </w:rPr>
              <w:lastRenderedPageBreak/>
              <w:t>2</w:t>
            </w:r>
          </w:p>
        </w:tc>
        <w:tc>
          <w:tcPr>
            <w:tcW w:w="3543" w:type="dxa"/>
          </w:tcPr>
          <w:p w14:paraId="2B9CBDB9" w14:textId="77777777" w:rsidR="00A279A8" w:rsidRPr="003C0AFC" w:rsidRDefault="00A279A8" w:rsidP="00A279A8">
            <w:pPr>
              <w:pStyle w:val="a3"/>
              <w:rPr>
                <w:spacing w:val="-2"/>
                <w:szCs w:val="24"/>
              </w:rPr>
            </w:pPr>
            <w:r w:rsidRPr="003C0AFC">
              <w:rPr>
                <w:spacing w:val="-2"/>
                <w:szCs w:val="24"/>
              </w:rPr>
              <w:t>Пункт 1 Статьи 3 Проекта:</w:t>
            </w:r>
          </w:p>
          <w:p w14:paraId="372730A8" w14:textId="77777777" w:rsidR="00A279A8" w:rsidRPr="003C0AFC" w:rsidRDefault="00A279A8" w:rsidP="00A279A8">
            <w:pPr>
              <w:pStyle w:val="a3"/>
              <w:rPr>
                <w:spacing w:val="-2"/>
                <w:szCs w:val="24"/>
              </w:rPr>
            </w:pPr>
          </w:p>
          <w:p w14:paraId="75827DB0" w14:textId="77777777" w:rsidR="00A279A8" w:rsidRPr="003C0AFC" w:rsidRDefault="00A279A8" w:rsidP="00A279A8">
            <w:pPr>
              <w:ind w:firstLine="709"/>
              <w:jc w:val="both"/>
              <w:rPr>
                <w:rFonts w:ascii="Times New Roman" w:hAnsi="Times New Roman" w:cs="Times New Roman"/>
                <w:bCs/>
              </w:rPr>
            </w:pPr>
            <w:r w:rsidRPr="003C0AFC">
              <w:rPr>
                <w:rFonts w:ascii="Times New Roman" w:hAnsi="Times New Roman" w:cs="Times New Roman"/>
                <w:bCs/>
              </w:rPr>
              <w:t>1) статью 3 дополнить абзацем следующего содержания:</w:t>
            </w:r>
          </w:p>
          <w:p w14:paraId="2A1CAEEB" w14:textId="77777777" w:rsidR="00A279A8" w:rsidRPr="003C0AFC" w:rsidRDefault="00A279A8" w:rsidP="00A279A8">
            <w:pPr>
              <w:ind w:firstLine="709"/>
              <w:jc w:val="both"/>
              <w:rPr>
                <w:rFonts w:ascii="Times New Roman" w:hAnsi="Times New Roman" w:cs="Times New Roman"/>
                <w:bCs/>
              </w:rPr>
            </w:pPr>
            <w:r w:rsidRPr="003C0AFC">
              <w:rPr>
                <w:rFonts w:ascii="Times New Roman" w:hAnsi="Times New Roman" w:cs="Times New Roman"/>
                <w:bCs/>
              </w:rPr>
              <w:t xml:space="preserve">«связанные лица – юридические и (или) физические лица в случае, если одно из таких лиц контролирует или оказывает значительное влияние на другое лицо (других лиц) или если такие лица находятся под контролем или значительным влиянием третьего лица (третьих лиц). Признаки связанности лиц определяются нормативным </w:t>
            </w:r>
            <w:r w:rsidRPr="003C0AFC">
              <w:rPr>
                <w:rFonts w:ascii="Times New Roman" w:hAnsi="Times New Roman" w:cs="Times New Roman"/>
                <w:bCs/>
              </w:rPr>
              <w:lastRenderedPageBreak/>
              <w:t>актом Банка России.»;</w:t>
            </w:r>
          </w:p>
          <w:p w14:paraId="296F2917" w14:textId="77777777" w:rsidR="00A279A8" w:rsidRPr="003C0AFC" w:rsidRDefault="00A279A8" w:rsidP="00A279A8">
            <w:pPr>
              <w:pStyle w:val="a3"/>
              <w:rPr>
                <w:spacing w:val="-2"/>
                <w:szCs w:val="24"/>
              </w:rPr>
            </w:pPr>
          </w:p>
        </w:tc>
        <w:tc>
          <w:tcPr>
            <w:tcW w:w="5977" w:type="dxa"/>
          </w:tcPr>
          <w:p w14:paraId="6D04F7BD" w14:textId="278F49C1" w:rsidR="00F73DDE" w:rsidRPr="003C0AFC" w:rsidRDefault="00A279A8" w:rsidP="00F73DDE">
            <w:pPr>
              <w:ind w:firstLine="709"/>
              <w:jc w:val="both"/>
              <w:rPr>
                <w:rFonts w:ascii="Times New Roman" w:hAnsi="Times New Roman" w:cs="Times New Roman"/>
                <w:bCs/>
              </w:rPr>
            </w:pPr>
            <w:r w:rsidRPr="003C0AFC">
              <w:rPr>
                <w:rFonts w:ascii="Times New Roman" w:hAnsi="Times New Roman" w:cs="Times New Roman"/>
                <w:bCs/>
              </w:rPr>
              <w:lastRenderedPageBreak/>
              <w:t xml:space="preserve">1) </w:t>
            </w:r>
            <w:r w:rsidR="00F73DDE" w:rsidRPr="003C0AFC">
              <w:rPr>
                <w:rFonts w:ascii="Times New Roman" w:hAnsi="Times New Roman" w:cs="Times New Roman"/>
                <w:bCs/>
              </w:rPr>
              <w:t>статью 3 дополнить абзацем следующего содержания:</w:t>
            </w:r>
          </w:p>
          <w:p w14:paraId="72A10D7C" w14:textId="2F487EA9" w:rsidR="00F73DDE" w:rsidRPr="003C0AFC" w:rsidRDefault="00F73DDE" w:rsidP="00F73DDE">
            <w:pPr>
              <w:ind w:firstLine="709"/>
              <w:jc w:val="both"/>
              <w:rPr>
                <w:rFonts w:ascii="Times New Roman" w:hAnsi="Times New Roman" w:cs="Times New Roman"/>
                <w:bCs/>
              </w:rPr>
            </w:pPr>
            <w:r w:rsidRPr="003C0AFC">
              <w:rPr>
                <w:rFonts w:ascii="Times New Roman" w:hAnsi="Times New Roman" w:cs="Times New Roman"/>
                <w:bCs/>
              </w:rPr>
              <w:t>«связанные лица – юридические и (или) физические лица в случае, если одно из таких лиц контролирует или оказывает значительное влияние на другое лицо (других лиц) или если юридические лица находятся под контролем третьего лица (третьих лиц) или одно юридическое лицо находится под контролем, а другое юридическое лицо находится под значительным влиянием третьего лица (третьих лиц)</w:t>
            </w:r>
            <w:r w:rsidR="00295617" w:rsidRPr="003C0AFC">
              <w:rPr>
                <w:rFonts w:ascii="Times New Roman" w:hAnsi="Times New Roman" w:cs="Times New Roman"/>
                <w:bCs/>
              </w:rPr>
              <w:t xml:space="preserve"> </w:t>
            </w:r>
            <w:r w:rsidR="00295617" w:rsidRPr="003C0AFC">
              <w:rPr>
                <w:rFonts w:ascii="Times New Roman" w:hAnsi="Times New Roman"/>
                <w:bCs/>
              </w:rPr>
              <w:t>(за исключением случаев, когда указанными третьими лицами являются Банк России, федеральные органы государственной власти, органы государственной власти субъектов Российской Федерации и органы местного самоуправления)</w:t>
            </w:r>
            <w:r w:rsidRPr="003C0AFC">
              <w:rPr>
                <w:rFonts w:ascii="Times New Roman" w:hAnsi="Times New Roman" w:cs="Times New Roman"/>
                <w:bCs/>
              </w:rPr>
              <w:t xml:space="preserve">. Контроль и значительное влияние определяются в соответствии с Международными стандартами финансовой </w:t>
            </w:r>
            <w:r w:rsidRPr="003C0AFC">
              <w:rPr>
                <w:rFonts w:ascii="Times New Roman" w:hAnsi="Times New Roman" w:cs="Times New Roman"/>
                <w:bCs/>
              </w:rPr>
              <w:lastRenderedPageBreak/>
              <w:t>отчетности, введенными в действие на территории Российской Федерации в соответствии с постановлением Правительства Российской Федерации от 25 февраля 2011 год №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(Собрание законодательства Российской Федерации, 2011, № 10, ст. 1385; 2013 № 36, ст. 4578)».</w:t>
            </w:r>
          </w:p>
          <w:p w14:paraId="20A7DE25" w14:textId="1A55EA29" w:rsidR="00A279A8" w:rsidRPr="003C0AFC" w:rsidRDefault="00A279A8" w:rsidP="00A279A8">
            <w:pPr>
              <w:ind w:firstLine="709"/>
              <w:jc w:val="both"/>
              <w:rPr>
                <w:rFonts w:ascii="Times New Roman" w:hAnsi="Times New Roman" w:cs="Times New Roman"/>
                <w:bCs/>
              </w:rPr>
            </w:pPr>
          </w:p>
        </w:tc>
        <w:tc>
          <w:tcPr>
            <w:tcW w:w="4945" w:type="dxa"/>
          </w:tcPr>
          <w:p w14:paraId="69FDACFD" w14:textId="77777777" w:rsidR="00A279A8" w:rsidRPr="003C0AFC" w:rsidRDefault="00A279A8" w:rsidP="00A279A8">
            <w:pPr>
              <w:pStyle w:val="a3"/>
              <w:ind w:right="459"/>
              <w:rPr>
                <w:szCs w:val="24"/>
              </w:rPr>
            </w:pPr>
            <w:r w:rsidRPr="003C0AFC">
              <w:rPr>
                <w:szCs w:val="24"/>
              </w:rPr>
              <w:lastRenderedPageBreak/>
              <w:t>Законопроект вводят понятие связанных лиц. При этом, указанное понятие трактует понятие связанных лиц более широко, чем это предусмотрено общепринятыми международными нормами, а в частности нормами МСФО. Согласно законопроекту, связанными лицами будут являться в том числе лица, на которые оказывает значительно влияние одно и то же юридическое или физическое лицо. Требованиями МСФО (пункт 9 МСФО (</w:t>
            </w:r>
            <w:r w:rsidRPr="003C0AFC">
              <w:rPr>
                <w:szCs w:val="24"/>
                <w:lang w:val="en-US"/>
              </w:rPr>
              <w:t>IAS</w:t>
            </w:r>
            <w:r w:rsidRPr="003C0AFC">
              <w:rPr>
                <w:szCs w:val="24"/>
              </w:rPr>
              <w:t xml:space="preserve">) 24) и общепринятыми на практике трактовками норм МСФО международными аудиторскими компаниями не предусмотрено, что такие лица будут являться связанными, так как </w:t>
            </w:r>
            <w:r w:rsidRPr="003C0AFC">
              <w:rPr>
                <w:szCs w:val="24"/>
              </w:rPr>
              <w:lastRenderedPageBreak/>
              <w:t>одно предприятие не имеет достаточной возможности влиять на финансовую и операционную политику другого предприятия, только в силу наличия у этих двух предприятий общего инвестора, оказывающего на них значительное влияние. Предлагаем, в целях сближения российского законодательства с лучшими практиками международного законодательства ввести определение связанных лиц для целей 75-ФЗ не расширяющее трактовки норм МСФО, а именно исключить из определения связанности компании, у которых общий инвестор, оказывающий на них значительное влияние.</w:t>
            </w:r>
          </w:p>
          <w:p w14:paraId="6FB22A3F" w14:textId="588C0EFB" w:rsidR="00295617" w:rsidRPr="003C0AFC" w:rsidRDefault="00295617" w:rsidP="009C6F94">
            <w:pPr>
              <w:pStyle w:val="a3"/>
              <w:ind w:right="459"/>
              <w:rPr>
                <w:szCs w:val="28"/>
              </w:rPr>
            </w:pPr>
            <w:r w:rsidRPr="003C0AFC">
              <w:rPr>
                <w:szCs w:val="28"/>
              </w:rPr>
              <w:t>Также из определения связанных лиц предлагаем исключить лиц, находящихся под общем контролем или значительным влиянием государства, так как для фондов с государственным участием под определение связанных лиц попадут все компании с государственным участием.</w:t>
            </w:r>
          </w:p>
          <w:p w14:paraId="6301F972" w14:textId="43E25AB9" w:rsidR="00F110FA" w:rsidRPr="003C0AFC" w:rsidRDefault="00F110FA" w:rsidP="00A279A8">
            <w:pPr>
              <w:pStyle w:val="a3"/>
              <w:ind w:right="459"/>
              <w:rPr>
                <w:szCs w:val="24"/>
              </w:rPr>
            </w:pPr>
            <w:r w:rsidRPr="003C0AFC">
              <w:rPr>
                <w:szCs w:val="24"/>
              </w:rPr>
              <w:t>Предлагаем ограничить определение связанности на уровне закона, дополнив его ссылками по определению контроля и значительного влияния на МСФО. Такое определение связанных позволит обеспечить стабильность ведения бизнеса и определит четкие критерии для всего рынка в определении связанных лиц.</w:t>
            </w:r>
          </w:p>
        </w:tc>
      </w:tr>
      <w:tr w:rsidR="003C0AFC" w:rsidRPr="003C0AFC" w14:paraId="185B69DF" w14:textId="77777777" w:rsidTr="0051572E">
        <w:trPr>
          <w:trHeight w:val="497"/>
          <w:jc w:val="center"/>
        </w:trPr>
        <w:tc>
          <w:tcPr>
            <w:tcW w:w="985" w:type="dxa"/>
          </w:tcPr>
          <w:p w14:paraId="3811144D" w14:textId="163E9C16" w:rsidR="0051572E" w:rsidRPr="003C0AFC" w:rsidRDefault="006208EF" w:rsidP="00A279A8">
            <w:pPr>
              <w:pStyle w:val="a3"/>
              <w:rPr>
                <w:spacing w:val="-2"/>
                <w:szCs w:val="24"/>
              </w:rPr>
            </w:pPr>
            <w:r w:rsidRPr="003C0AFC">
              <w:rPr>
                <w:spacing w:val="-2"/>
                <w:szCs w:val="24"/>
              </w:rPr>
              <w:lastRenderedPageBreak/>
              <w:t>3</w:t>
            </w:r>
          </w:p>
        </w:tc>
        <w:tc>
          <w:tcPr>
            <w:tcW w:w="3543" w:type="dxa"/>
          </w:tcPr>
          <w:p w14:paraId="0244A7E4" w14:textId="0965B9AA" w:rsidR="0051572E" w:rsidRPr="003C0AFC" w:rsidRDefault="0051572E" w:rsidP="00A279A8">
            <w:pPr>
              <w:pStyle w:val="a3"/>
              <w:rPr>
                <w:spacing w:val="-2"/>
                <w:szCs w:val="24"/>
              </w:rPr>
            </w:pPr>
            <w:r w:rsidRPr="003C0AFC">
              <w:rPr>
                <w:spacing w:val="-2"/>
                <w:szCs w:val="24"/>
              </w:rPr>
              <w:t>Пункт 1 Статьи 3 Проекта</w:t>
            </w:r>
          </w:p>
        </w:tc>
        <w:tc>
          <w:tcPr>
            <w:tcW w:w="5977" w:type="dxa"/>
          </w:tcPr>
          <w:p w14:paraId="1EE9881B" w14:textId="055B9904" w:rsidR="0051572E" w:rsidRPr="003C0AFC" w:rsidRDefault="0051572E" w:rsidP="006208EF">
            <w:pPr>
              <w:jc w:val="both"/>
              <w:rPr>
                <w:rFonts w:ascii="Times New Roman" w:hAnsi="Times New Roman" w:cs="Times New Roman"/>
                <w:bCs/>
              </w:rPr>
            </w:pPr>
            <w:r w:rsidRPr="003C0AFC">
              <w:rPr>
                <w:rFonts w:ascii="Times New Roman" w:hAnsi="Times New Roman" w:cs="Times New Roman"/>
              </w:rPr>
              <w:t>Дополнить определение связанных лиц словами «за исключением Российской Федерации или ее субъектов».</w:t>
            </w:r>
          </w:p>
        </w:tc>
        <w:tc>
          <w:tcPr>
            <w:tcW w:w="4945" w:type="dxa"/>
          </w:tcPr>
          <w:p w14:paraId="00174915" w14:textId="77777777" w:rsidR="0051572E" w:rsidRPr="003C0AFC" w:rsidRDefault="0051572E" w:rsidP="00A279A8">
            <w:pPr>
              <w:pStyle w:val="a3"/>
              <w:ind w:right="459"/>
              <w:rPr>
                <w:szCs w:val="24"/>
              </w:rPr>
            </w:pPr>
          </w:p>
        </w:tc>
      </w:tr>
      <w:tr w:rsidR="003C0AFC" w:rsidRPr="003C0AFC" w14:paraId="32C049AA" w14:textId="77777777" w:rsidTr="00A279A8">
        <w:trPr>
          <w:trHeight w:val="274"/>
          <w:jc w:val="center"/>
        </w:trPr>
        <w:tc>
          <w:tcPr>
            <w:tcW w:w="985" w:type="dxa"/>
          </w:tcPr>
          <w:p w14:paraId="4F5F2608" w14:textId="7AF6B6B4" w:rsidR="0051572E" w:rsidRPr="003C0AFC" w:rsidRDefault="006208EF" w:rsidP="00A279A8">
            <w:pPr>
              <w:pStyle w:val="a3"/>
              <w:rPr>
                <w:spacing w:val="-2"/>
                <w:szCs w:val="24"/>
              </w:rPr>
            </w:pPr>
            <w:r w:rsidRPr="003C0AFC">
              <w:rPr>
                <w:spacing w:val="-2"/>
                <w:szCs w:val="24"/>
              </w:rPr>
              <w:lastRenderedPageBreak/>
              <w:t>4</w:t>
            </w:r>
          </w:p>
        </w:tc>
        <w:tc>
          <w:tcPr>
            <w:tcW w:w="3543" w:type="dxa"/>
          </w:tcPr>
          <w:p w14:paraId="148D318F" w14:textId="1A50516F" w:rsidR="0051572E" w:rsidRPr="003C0AFC" w:rsidRDefault="0051572E" w:rsidP="0051572E">
            <w:pPr>
              <w:rPr>
                <w:rFonts w:ascii="Times New Roman" w:hAnsi="Times New Roman" w:cs="Times New Roman"/>
              </w:rPr>
            </w:pPr>
            <w:r w:rsidRPr="003C0AFC">
              <w:rPr>
                <w:rFonts w:ascii="Times New Roman" w:hAnsi="Times New Roman" w:cs="Times New Roman"/>
              </w:rPr>
              <w:t>Пункт 6 Статьи 3 Проекта,</w:t>
            </w:r>
          </w:p>
          <w:p w14:paraId="1042EC95" w14:textId="626225C1" w:rsidR="0051572E" w:rsidRPr="003C0AFC" w:rsidRDefault="0051572E" w:rsidP="0051572E">
            <w:pPr>
              <w:pStyle w:val="a3"/>
              <w:rPr>
                <w:spacing w:val="-2"/>
                <w:szCs w:val="24"/>
              </w:rPr>
            </w:pPr>
            <w:r w:rsidRPr="003C0AFC">
              <w:rPr>
                <w:szCs w:val="24"/>
              </w:rPr>
              <w:t>Пункт 1 Статьи 4</w:t>
            </w:r>
          </w:p>
        </w:tc>
        <w:tc>
          <w:tcPr>
            <w:tcW w:w="5977" w:type="dxa"/>
          </w:tcPr>
          <w:p w14:paraId="74F89617" w14:textId="2A356137" w:rsidR="0051572E" w:rsidRPr="003C0AFC" w:rsidRDefault="0051572E" w:rsidP="006208EF">
            <w:pPr>
              <w:ind w:right="147"/>
              <w:jc w:val="both"/>
              <w:rPr>
                <w:rFonts w:ascii="Times New Roman" w:hAnsi="Times New Roman" w:cs="Times New Roman"/>
              </w:rPr>
            </w:pPr>
            <w:r w:rsidRPr="003C0AFC">
              <w:rPr>
                <w:rFonts w:ascii="Times New Roman" w:hAnsi="Times New Roman" w:cs="Times New Roman"/>
              </w:rPr>
              <w:t>Во избежание субъективизма при принятии решений необходимо указать конкретные критерии для вынесения «обоснованного предположения о наличии между лицами отношений связанности».</w:t>
            </w:r>
          </w:p>
          <w:p w14:paraId="727AC447" w14:textId="77777777" w:rsidR="0051572E" w:rsidRPr="003C0AFC" w:rsidRDefault="0051572E" w:rsidP="0051572E">
            <w:pPr>
              <w:jc w:val="both"/>
              <w:rPr>
                <w:rFonts w:ascii="Times New Roman" w:hAnsi="Times New Roman" w:cs="Times New Roman"/>
                <w:b/>
              </w:rPr>
            </w:pPr>
          </w:p>
        </w:tc>
        <w:tc>
          <w:tcPr>
            <w:tcW w:w="4945" w:type="dxa"/>
          </w:tcPr>
          <w:p w14:paraId="6AC8C1D0" w14:textId="77777777" w:rsidR="0051572E" w:rsidRPr="003C0AFC" w:rsidRDefault="0051572E" w:rsidP="00A279A8">
            <w:pPr>
              <w:pStyle w:val="a3"/>
              <w:ind w:right="459"/>
              <w:rPr>
                <w:szCs w:val="24"/>
              </w:rPr>
            </w:pPr>
          </w:p>
        </w:tc>
      </w:tr>
      <w:tr w:rsidR="003C0AFC" w:rsidRPr="003C0AFC" w14:paraId="1B493754" w14:textId="77777777" w:rsidTr="00A279A8">
        <w:trPr>
          <w:trHeight w:val="274"/>
          <w:jc w:val="center"/>
        </w:trPr>
        <w:tc>
          <w:tcPr>
            <w:tcW w:w="985" w:type="dxa"/>
          </w:tcPr>
          <w:p w14:paraId="62051E6D" w14:textId="61E2D1B1" w:rsidR="00A279A8" w:rsidRPr="003C0AFC" w:rsidRDefault="006208EF" w:rsidP="00A279A8">
            <w:pPr>
              <w:pStyle w:val="a3"/>
              <w:rPr>
                <w:spacing w:val="-2"/>
                <w:szCs w:val="24"/>
              </w:rPr>
            </w:pPr>
            <w:r w:rsidRPr="003C0AFC">
              <w:rPr>
                <w:spacing w:val="-2"/>
                <w:szCs w:val="24"/>
              </w:rPr>
              <w:t>5</w:t>
            </w:r>
          </w:p>
        </w:tc>
        <w:tc>
          <w:tcPr>
            <w:tcW w:w="3543" w:type="dxa"/>
          </w:tcPr>
          <w:p w14:paraId="796D23BF" w14:textId="77777777" w:rsidR="00A279A8" w:rsidRPr="003C0AFC" w:rsidRDefault="00A279A8" w:rsidP="00A279A8">
            <w:pPr>
              <w:jc w:val="both"/>
              <w:rPr>
                <w:rFonts w:ascii="Times New Roman" w:hAnsi="Times New Roman" w:cs="Times New Roman"/>
              </w:rPr>
            </w:pPr>
            <w:r w:rsidRPr="003C0AFC">
              <w:rPr>
                <w:rFonts w:ascii="Times New Roman" w:hAnsi="Times New Roman" w:cs="Times New Roman"/>
              </w:rPr>
              <w:t>Пункт 8 статьи 3.</w:t>
            </w:r>
          </w:p>
          <w:p w14:paraId="6B0142A8" w14:textId="77777777" w:rsidR="00A279A8" w:rsidRPr="003C0AFC" w:rsidRDefault="00A279A8" w:rsidP="00A279A8">
            <w:pPr>
              <w:ind w:firstLine="709"/>
              <w:jc w:val="both"/>
              <w:rPr>
                <w:rFonts w:ascii="Times New Roman" w:hAnsi="Times New Roman" w:cs="Times New Roman"/>
              </w:rPr>
            </w:pPr>
          </w:p>
          <w:p w14:paraId="2A671301" w14:textId="77777777" w:rsidR="00A279A8" w:rsidRPr="003C0AFC" w:rsidRDefault="00A279A8" w:rsidP="00466434">
            <w:pPr>
              <w:jc w:val="both"/>
              <w:rPr>
                <w:rFonts w:ascii="Times New Roman" w:hAnsi="Times New Roman" w:cs="Times New Roman"/>
              </w:rPr>
            </w:pPr>
            <w:r w:rsidRPr="003C0AFC">
              <w:rPr>
                <w:rFonts w:ascii="Times New Roman" w:hAnsi="Times New Roman" w:cs="Times New Roman"/>
              </w:rPr>
              <w:t xml:space="preserve">8) в пункте 1 статьи  </w:t>
            </w:r>
            <w:r w:rsidRPr="003C0AFC">
              <w:rPr>
                <w:rFonts w:ascii="Times New Roman" w:hAnsi="Times New Roman" w:cs="Times New Roman"/>
                <w:bCs/>
              </w:rPr>
              <w:t>36</w:t>
            </w:r>
            <w:r w:rsidRPr="003C0AFC">
              <w:rPr>
                <w:rFonts w:ascii="Times New Roman" w:hAnsi="Times New Roman" w:cs="Times New Roman"/>
                <w:bCs/>
                <w:vertAlign w:val="superscript"/>
              </w:rPr>
              <w:t xml:space="preserve">15 </w:t>
            </w:r>
            <w:r w:rsidRPr="003C0AFC">
              <w:rPr>
                <w:rFonts w:ascii="Times New Roman" w:hAnsi="Times New Roman" w:cs="Times New Roman"/>
              </w:rPr>
              <w:t>:</w:t>
            </w:r>
          </w:p>
          <w:p w14:paraId="4F50DD76" w14:textId="77777777" w:rsidR="00A279A8" w:rsidRPr="003C0AFC" w:rsidRDefault="00A279A8" w:rsidP="00A279A8">
            <w:pPr>
              <w:ind w:firstLine="709"/>
              <w:jc w:val="both"/>
              <w:rPr>
                <w:rFonts w:ascii="Times New Roman" w:hAnsi="Times New Roman" w:cs="Times New Roman"/>
              </w:rPr>
            </w:pPr>
            <w:r w:rsidRPr="003C0AFC">
              <w:rPr>
                <w:rFonts w:ascii="Times New Roman" w:hAnsi="Times New Roman" w:cs="Times New Roman"/>
              </w:rPr>
              <w:t>а) в абзаце четвертом слова «аффилированными лицами фонда, управляющей компании, специализированного депозитария и актуария» заменить словами «лицами, связанными с фондом, управляющей компанией, специализированным депозитарием и актуарием»;</w:t>
            </w:r>
          </w:p>
          <w:p w14:paraId="6C4CD85F" w14:textId="77777777" w:rsidR="00A279A8" w:rsidRPr="003C0AFC" w:rsidRDefault="00A279A8" w:rsidP="00A279A8">
            <w:pPr>
              <w:ind w:firstLine="709"/>
              <w:jc w:val="both"/>
              <w:rPr>
                <w:rFonts w:ascii="Times New Roman" w:hAnsi="Times New Roman" w:cs="Times New Roman"/>
              </w:rPr>
            </w:pPr>
            <w:r w:rsidRPr="003C0AFC">
              <w:rPr>
                <w:rFonts w:ascii="Times New Roman" w:hAnsi="Times New Roman" w:cs="Times New Roman"/>
              </w:rPr>
              <w:t>б) в абзаце пятом слова «аффилированными лицами фонда, управляющей компании» заменить словами «лицами, связанными с фондом, управляющей компанией»;</w:t>
            </w:r>
          </w:p>
          <w:p w14:paraId="5B15B2EA" w14:textId="77777777" w:rsidR="00A279A8" w:rsidRPr="003C0AFC" w:rsidRDefault="00A279A8" w:rsidP="00A279A8">
            <w:pPr>
              <w:pStyle w:val="a3"/>
              <w:rPr>
                <w:spacing w:val="-2"/>
                <w:szCs w:val="24"/>
              </w:rPr>
            </w:pPr>
          </w:p>
        </w:tc>
        <w:tc>
          <w:tcPr>
            <w:tcW w:w="5977" w:type="dxa"/>
          </w:tcPr>
          <w:p w14:paraId="6A7DA554" w14:textId="77777777" w:rsidR="00A279A8" w:rsidRPr="003C0AFC" w:rsidRDefault="00A279A8" w:rsidP="00A279A8">
            <w:pPr>
              <w:jc w:val="both"/>
              <w:rPr>
                <w:rFonts w:ascii="Times New Roman" w:hAnsi="Times New Roman" w:cs="Times New Roman"/>
              </w:rPr>
            </w:pPr>
            <w:r w:rsidRPr="003C0AFC">
              <w:rPr>
                <w:rFonts w:ascii="Times New Roman" w:hAnsi="Times New Roman" w:cs="Times New Roman"/>
              </w:rPr>
              <w:t>Пункт 8 статьи 3:</w:t>
            </w:r>
          </w:p>
          <w:p w14:paraId="713C7E0D" w14:textId="77777777" w:rsidR="00A279A8" w:rsidRPr="003C0AFC" w:rsidRDefault="00A279A8" w:rsidP="00A279A8">
            <w:pPr>
              <w:jc w:val="both"/>
              <w:rPr>
                <w:rFonts w:ascii="Times New Roman" w:hAnsi="Times New Roman" w:cs="Times New Roman"/>
              </w:rPr>
            </w:pPr>
            <w:r w:rsidRPr="003C0AFC">
              <w:rPr>
                <w:rFonts w:ascii="Times New Roman" w:hAnsi="Times New Roman" w:cs="Times New Roman"/>
              </w:rPr>
              <w:t xml:space="preserve">«В пункте 1 статьи </w:t>
            </w:r>
            <w:r w:rsidRPr="003C0AFC">
              <w:rPr>
                <w:rFonts w:ascii="Times New Roman" w:hAnsi="Times New Roman" w:cs="Times New Roman"/>
                <w:bCs/>
              </w:rPr>
              <w:t>36</w:t>
            </w:r>
            <w:r w:rsidRPr="003C0AFC">
              <w:rPr>
                <w:rFonts w:ascii="Times New Roman" w:hAnsi="Times New Roman" w:cs="Times New Roman"/>
                <w:bCs/>
                <w:vertAlign w:val="superscript"/>
              </w:rPr>
              <w:t xml:space="preserve">15 </w:t>
            </w:r>
          </w:p>
          <w:p w14:paraId="38BCA033" w14:textId="77777777" w:rsidR="00A279A8" w:rsidRPr="003C0AFC" w:rsidRDefault="00A279A8" w:rsidP="00A279A8">
            <w:pPr>
              <w:jc w:val="both"/>
              <w:rPr>
                <w:rFonts w:ascii="Times New Roman" w:hAnsi="Times New Roman" w:cs="Times New Roman"/>
                <w:bCs/>
                <w:vertAlign w:val="superscript"/>
              </w:rPr>
            </w:pPr>
            <w:r w:rsidRPr="003C0AFC">
              <w:rPr>
                <w:rFonts w:ascii="Times New Roman" w:hAnsi="Times New Roman" w:cs="Times New Roman"/>
              </w:rPr>
              <w:t>а) абзац четвертый изложить в следующей редакции:</w:t>
            </w:r>
          </w:p>
          <w:p w14:paraId="375A9886" w14:textId="45025289" w:rsidR="00A279A8" w:rsidRPr="003C0AFC" w:rsidRDefault="00A279A8" w:rsidP="00A279A8">
            <w:pPr>
              <w:jc w:val="both"/>
              <w:rPr>
                <w:rFonts w:ascii="Times New Roman" w:hAnsi="Times New Roman" w:cs="Times New Roman"/>
              </w:rPr>
            </w:pPr>
            <w:r w:rsidRPr="003C0AFC">
              <w:rPr>
                <w:rFonts w:ascii="Times New Roman" w:hAnsi="Times New Roman" w:cs="Times New Roman"/>
              </w:rPr>
              <w:t xml:space="preserve">максимальная доля в инвестиционном портфеле фонда ценных бумаг, эмитированных </w:t>
            </w:r>
            <w:r w:rsidRPr="003C0AFC">
              <w:rPr>
                <w:rFonts w:ascii="Times New Roman" w:hAnsi="Times New Roman" w:cs="Times New Roman"/>
                <w:bCs/>
              </w:rPr>
              <w:t>лицами, связанными с фондом, управляющей компанией</w:t>
            </w:r>
            <w:r w:rsidRPr="003C0AFC">
              <w:rPr>
                <w:rFonts w:ascii="Times New Roman" w:hAnsi="Times New Roman" w:cs="Times New Roman"/>
              </w:rPr>
              <w:t xml:space="preserve">, специализированного депозитария и актуария, не должна превышать 15 процентов инвестиционного портфеля фонда до 1 января 2022 года, 14 процентов инвестиционного портфеля фонда до 1 января 2023 года, 13 процентов инвестиционного портфеля фонда до 1 января 2024 года, 12 процентов инвестиционного портфеля фонда до 1 января 2025 года, 11 процентов инвестиционного портфеля фонда до 1 января 2026 года и 10 процентов инвестиционного портфеля фонда </w:t>
            </w:r>
            <w:r w:rsidR="00C44017" w:rsidRPr="003C0AFC">
              <w:rPr>
                <w:rFonts w:ascii="Times New Roman" w:hAnsi="Times New Roman" w:cs="Times New Roman"/>
              </w:rPr>
              <w:t xml:space="preserve">с </w:t>
            </w:r>
            <w:r w:rsidRPr="003C0AFC">
              <w:rPr>
                <w:rFonts w:ascii="Times New Roman" w:hAnsi="Times New Roman" w:cs="Times New Roman"/>
              </w:rPr>
              <w:t xml:space="preserve">1 января </w:t>
            </w:r>
            <w:r w:rsidR="00C44017" w:rsidRPr="003C0AFC">
              <w:rPr>
                <w:rFonts w:ascii="Times New Roman" w:hAnsi="Times New Roman" w:cs="Times New Roman"/>
              </w:rPr>
              <w:t xml:space="preserve">2026 </w:t>
            </w:r>
            <w:r w:rsidRPr="003C0AFC">
              <w:rPr>
                <w:rFonts w:ascii="Times New Roman" w:hAnsi="Times New Roman" w:cs="Times New Roman"/>
              </w:rPr>
              <w:t>года.</w:t>
            </w:r>
          </w:p>
          <w:p w14:paraId="299A17E9" w14:textId="77777777" w:rsidR="00A279A8" w:rsidRPr="003C0AFC" w:rsidRDefault="00A279A8" w:rsidP="00A279A8">
            <w:pPr>
              <w:jc w:val="both"/>
              <w:rPr>
                <w:rFonts w:ascii="Times New Roman" w:hAnsi="Times New Roman" w:cs="Times New Roman"/>
                <w:bCs/>
                <w:vertAlign w:val="superscript"/>
              </w:rPr>
            </w:pPr>
            <w:r w:rsidRPr="003C0AFC">
              <w:rPr>
                <w:rFonts w:ascii="Times New Roman" w:hAnsi="Times New Roman" w:cs="Times New Roman"/>
              </w:rPr>
              <w:t>б) абзац пятый изложить в следующей редакции:</w:t>
            </w:r>
          </w:p>
          <w:p w14:paraId="17940736" w14:textId="7D5A591A" w:rsidR="00A279A8" w:rsidRPr="003C0AFC" w:rsidRDefault="00A279A8" w:rsidP="00C44017">
            <w:pPr>
              <w:ind w:firstLine="709"/>
              <w:jc w:val="both"/>
              <w:rPr>
                <w:rFonts w:ascii="Times New Roman" w:hAnsi="Times New Roman" w:cs="Times New Roman"/>
                <w:bCs/>
              </w:rPr>
            </w:pPr>
            <w:r w:rsidRPr="003C0AFC">
              <w:rPr>
                <w:rFonts w:ascii="Times New Roman" w:hAnsi="Times New Roman" w:cs="Times New Roman"/>
              </w:rPr>
              <w:t xml:space="preserve">максимальная доля в инвестиционном портфеле фонда депозитов, размещенных в кредитных организациях, являющихся связанными лицами фонда, управляющей компании, не должна превышать 30 процентов инвестиционного портфеля фонда до 1 января 2022 года, 28 процентов инвестиционного портфеля фонда до 1 января 2023 года, 26 процентов инвестиционного портфеля фонда до 1 января 2024 года, 24 процентов инвестиционного портфеля фонда до 1 января 2025 года, 22 процентов инвестиционного портфеля фонда до 1 января 2026 года и 20 процентов инвестиционного портфеля фонда </w:t>
            </w:r>
            <w:r w:rsidR="00C44017" w:rsidRPr="003C0AFC">
              <w:rPr>
                <w:rFonts w:ascii="Times New Roman" w:hAnsi="Times New Roman" w:cs="Times New Roman"/>
              </w:rPr>
              <w:t xml:space="preserve">с </w:t>
            </w:r>
            <w:r w:rsidRPr="003C0AFC">
              <w:rPr>
                <w:rFonts w:ascii="Times New Roman" w:hAnsi="Times New Roman" w:cs="Times New Roman"/>
              </w:rPr>
              <w:t xml:space="preserve">1 января </w:t>
            </w:r>
            <w:r w:rsidR="00C44017" w:rsidRPr="003C0AFC">
              <w:rPr>
                <w:rFonts w:ascii="Times New Roman" w:hAnsi="Times New Roman" w:cs="Times New Roman"/>
              </w:rPr>
              <w:t xml:space="preserve">2026 </w:t>
            </w:r>
            <w:r w:rsidRPr="003C0AFC">
              <w:rPr>
                <w:rFonts w:ascii="Times New Roman" w:hAnsi="Times New Roman" w:cs="Times New Roman"/>
              </w:rPr>
              <w:t>года.»</w:t>
            </w:r>
          </w:p>
        </w:tc>
        <w:tc>
          <w:tcPr>
            <w:tcW w:w="4945" w:type="dxa"/>
          </w:tcPr>
          <w:p w14:paraId="24E5539F" w14:textId="77777777" w:rsidR="00A279A8" w:rsidRPr="003C0AFC" w:rsidRDefault="00A279A8" w:rsidP="00A279A8">
            <w:pPr>
              <w:pStyle w:val="a3"/>
              <w:ind w:right="459"/>
              <w:rPr>
                <w:szCs w:val="24"/>
              </w:rPr>
            </w:pPr>
            <w:r w:rsidRPr="003C0AFC">
              <w:rPr>
                <w:szCs w:val="24"/>
              </w:rPr>
              <w:t>В связи с расширением определений связанности и включением в определение связанных лиц более широкого круга юридических лиц чем в определение аффилированных, предлагаем увеличить лимит на вложения в ценные бумаги, эмитентами которых являются связанные лица с НПФ, УК и СД, а также лимит на депозиты в кредитных организациях, являющихся связанными с НПФ, с постепенным снижением этих лимитов до первоначально установленных в законопроекте величин в 10% и 20% в течение 6 лет.</w:t>
            </w:r>
          </w:p>
          <w:p w14:paraId="0CC5CCA9" w14:textId="77777777" w:rsidR="00A279A8" w:rsidRPr="003C0AFC" w:rsidRDefault="00A279A8" w:rsidP="00A279A8">
            <w:pPr>
              <w:pStyle w:val="a3"/>
              <w:ind w:right="459"/>
              <w:rPr>
                <w:szCs w:val="24"/>
              </w:rPr>
            </w:pPr>
            <w:r w:rsidRPr="003C0AFC">
              <w:rPr>
                <w:szCs w:val="24"/>
              </w:rPr>
              <w:t>В противоположном случае, фондам потребуется в короткие сроки реализовать активы связанных лиц. Реализация может негативно повлиять на финансовый результат для застрахованных лиц и на финансовую устойчивость фондов. Целесообразно установить более длительный переходный период для реализации таких активов.</w:t>
            </w:r>
          </w:p>
        </w:tc>
      </w:tr>
      <w:tr w:rsidR="003C0AFC" w:rsidRPr="003C0AFC" w14:paraId="33FBFE2E" w14:textId="77777777" w:rsidTr="00A279A8">
        <w:trPr>
          <w:trHeight w:val="274"/>
          <w:jc w:val="center"/>
        </w:trPr>
        <w:tc>
          <w:tcPr>
            <w:tcW w:w="985" w:type="dxa"/>
          </w:tcPr>
          <w:p w14:paraId="7DCCD810" w14:textId="2AB4BD11" w:rsidR="00C44017" w:rsidRPr="003C0AFC" w:rsidRDefault="00C44017" w:rsidP="00A279A8">
            <w:pPr>
              <w:pStyle w:val="a3"/>
              <w:rPr>
                <w:spacing w:val="-2"/>
                <w:szCs w:val="24"/>
              </w:rPr>
            </w:pPr>
            <w:r w:rsidRPr="003C0AFC">
              <w:rPr>
                <w:spacing w:val="-2"/>
                <w:szCs w:val="24"/>
              </w:rPr>
              <w:lastRenderedPageBreak/>
              <w:t>6</w:t>
            </w:r>
          </w:p>
        </w:tc>
        <w:tc>
          <w:tcPr>
            <w:tcW w:w="3543" w:type="dxa"/>
          </w:tcPr>
          <w:p w14:paraId="00181FC8" w14:textId="730F3BAF" w:rsidR="00C44017" w:rsidRPr="003C0AFC" w:rsidRDefault="00C44017" w:rsidP="00C44017">
            <w:pPr>
              <w:jc w:val="both"/>
              <w:rPr>
                <w:rFonts w:ascii="Times New Roman" w:hAnsi="Times New Roman" w:cs="Times New Roman"/>
              </w:rPr>
            </w:pPr>
            <w:r w:rsidRPr="003C0AFC">
              <w:rPr>
                <w:rFonts w:ascii="Times New Roman" w:hAnsi="Times New Roman" w:cs="Times New Roman"/>
              </w:rPr>
              <w:t xml:space="preserve">п.п </w:t>
            </w:r>
            <w:r w:rsidR="00981D8F" w:rsidRPr="003C0AFC">
              <w:rPr>
                <w:rFonts w:ascii="Times New Roman" w:hAnsi="Times New Roman" w:cs="Times New Roman"/>
              </w:rPr>
              <w:t xml:space="preserve"> </w:t>
            </w:r>
            <w:r w:rsidRPr="003C0AFC">
              <w:rPr>
                <w:rFonts w:ascii="Times New Roman" w:hAnsi="Times New Roman" w:cs="Times New Roman"/>
              </w:rPr>
              <w:t>2) абзаца 2 Статьи 4</w:t>
            </w:r>
          </w:p>
          <w:p w14:paraId="3887E95D" w14:textId="75BD6219" w:rsidR="00C44017" w:rsidRPr="003C0AFC" w:rsidRDefault="00C44017" w:rsidP="00C44017">
            <w:pPr>
              <w:ind w:firstLine="709"/>
              <w:jc w:val="both"/>
              <w:rPr>
                <w:rFonts w:ascii="Times New Roman" w:hAnsi="Times New Roman" w:cs="Times New Roman"/>
              </w:rPr>
            </w:pPr>
            <w:r w:rsidRPr="003C0AFC">
              <w:rPr>
                <w:rFonts w:ascii="Times New Roman" w:hAnsi="Times New Roman" w:cs="Times New Roman"/>
              </w:rPr>
              <w:t xml:space="preserve">«Статья </w:t>
            </w:r>
            <w:r w:rsidRPr="003C0AFC">
              <w:rPr>
                <w:rFonts w:ascii="Times New Roman" w:hAnsi="Times New Roman" w:cs="Times New Roman"/>
                <w:bCs/>
              </w:rPr>
              <w:t>76</w:t>
            </w:r>
            <w:r w:rsidRPr="003C0AFC">
              <w:rPr>
                <w:rFonts w:ascii="Times New Roman" w:hAnsi="Times New Roman" w:cs="Times New Roman"/>
                <w:bCs/>
                <w:sz w:val="22"/>
                <w:szCs w:val="22"/>
                <w:vertAlign w:val="superscript"/>
              </w:rPr>
              <w:t>4-2</w:t>
            </w:r>
            <w:r w:rsidRPr="003C0AFC">
              <w:rPr>
                <w:rFonts w:ascii="Times New Roman" w:hAnsi="Times New Roman" w:cs="Times New Roman"/>
              </w:rPr>
              <w:t xml:space="preserve">. В случаях, установленных федеральными законами, регулирующими деятельность некредитных финансовых организаций, Комитет финансового надзора вправе принять решение: </w:t>
            </w:r>
          </w:p>
          <w:p w14:paraId="511066FB" w14:textId="748375D1" w:rsidR="00C44017" w:rsidRPr="003C0AFC" w:rsidRDefault="00C44017" w:rsidP="00C44017">
            <w:pPr>
              <w:jc w:val="both"/>
              <w:rPr>
                <w:rFonts w:ascii="Times New Roman" w:hAnsi="Times New Roman" w:cs="Times New Roman"/>
              </w:rPr>
            </w:pPr>
            <w:r w:rsidRPr="003C0AFC">
              <w:rPr>
                <w:rFonts w:ascii="Times New Roman" w:hAnsi="Times New Roman" w:cs="Times New Roman"/>
              </w:rPr>
              <w:t>…</w:t>
            </w:r>
          </w:p>
          <w:p w14:paraId="3689E13D" w14:textId="7D4B9C9F" w:rsidR="00C44017" w:rsidRPr="003C0AFC" w:rsidRDefault="00C44017" w:rsidP="00C44017">
            <w:pPr>
              <w:jc w:val="both"/>
              <w:rPr>
                <w:rFonts w:ascii="Times New Roman" w:hAnsi="Times New Roman" w:cs="Times New Roman"/>
              </w:rPr>
            </w:pPr>
            <w:r w:rsidRPr="003C0AFC">
              <w:rPr>
                <w:rFonts w:ascii="Times New Roman" w:hAnsi="Times New Roman" w:cs="Times New Roman"/>
              </w:rPr>
              <w:t>2) об установлении для некредитной финансовой организации индивидуальных предельных значений обязательных нормативов - по результатам оценки качества системы управления рисками некредитной финансовой организации, ее соответствия характеру совершаемых такой организацией операций.</w:t>
            </w:r>
          </w:p>
        </w:tc>
        <w:tc>
          <w:tcPr>
            <w:tcW w:w="5977" w:type="dxa"/>
          </w:tcPr>
          <w:p w14:paraId="777C6E0E" w14:textId="77777777" w:rsidR="00C44017" w:rsidRPr="003C0AFC" w:rsidRDefault="00C44017" w:rsidP="00C44017">
            <w:pPr>
              <w:ind w:firstLine="709"/>
              <w:jc w:val="both"/>
              <w:rPr>
                <w:rFonts w:ascii="Times New Roman" w:hAnsi="Times New Roman" w:cs="Times New Roman"/>
                <w:bCs/>
              </w:rPr>
            </w:pPr>
            <w:r w:rsidRPr="003C0AFC">
              <w:rPr>
                <w:rFonts w:ascii="Times New Roman" w:hAnsi="Times New Roman" w:cs="Times New Roman"/>
                <w:bCs/>
                <w:sz w:val="22"/>
                <w:szCs w:val="22"/>
              </w:rPr>
              <w:t>«</w:t>
            </w:r>
            <w:r w:rsidRPr="003C0AFC">
              <w:rPr>
                <w:rFonts w:ascii="Times New Roman" w:hAnsi="Times New Roman" w:cs="Times New Roman"/>
                <w:bCs/>
              </w:rPr>
              <w:t>Статья 76</w:t>
            </w:r>
            <w:r w:rsidRPr="003C0AFC">
              <w:rPr>
                <w:rFonts w:ascii="Times New Roman" w:hAnsi="Times New Roman" w:cs="Times New Roman"/>
                <w:bCs/>
                <w:sz w:val="22"/>
                <w:szCs w:val="22"/>
                <w:vertAlign w:val="superscript"/>
              </w:rPr>
              <w:t>4-2</w:t>
            </w:r>
            <w:r w:rsidRPr="003C0AFC">
              <w:rPr>
                <w:rFonts w:ascii="Times New Roman" w:hAnsi="Times New Roman" w:cs="Times New Roman"/>
                <w:bCs/>
                <w:sz w:val="22"/>
                <w:szCs w:val="22"/>
              </w:rPr>
              <w:t xml:space="preserve">. </w:t>
            </w:r>
            <w:r w:rsidRPr="003C0AFC">
              <w:rPr>
                <w:rFonts w:ascii="Times New Roman" w:hAnsi="Times New Roman" w:cs="Times New Roman"/>
                <w:bCs/>
              </w:rPr>
              <w:t xml:space="preserve">В случаях, установленных федеральными законами, регулирующими деятельность некредитных финансовых организаций, Комитет финансового надзора вправе принять решение: </w:t>
            </w:r>
          </w:p>
          <w:p w14:paraId="7B971009" w14:textId="1DC612E9" w:rsidR="00C44017" w:rsidRPr="003C0AFC" w:rsidRDefault="00C44017" w:rsidP="00C44017">
            <w:pPr>
              <w:ind w:firstLine="709"/>
              <w:jc w:val="both"/>
              <w:rPr>
                <w:rFonts w:ascii="Times New Roman" w:hAnsi="Times New Roman" w:cs="Times New Roman"/>
                <w:bCs/>
              </w:rPr>
            </w:pPr>
            <w:r w:rsidRPr="003C0AFC">
              <w:rPr>
                <w:rFonts w:ascii="Times New Roman" w:hAnsi="Times New Roman" w:cs="Times New Roman"/>
                <w:bCs/>
              </w:rPr>
              <w:t>….</w:t>
            </w:r>
          </w:p>
          <w:p w14:paraId="6292ABB6" w14:textId="6D4F1A55" w:rsidR="00C44017" w:rsidRPr="003C0AFC" w:rsidRDefault="00C44017" w:rsidP="00C44017">
            <w:pPr>
              <w:ind w:left="113" w:right="147"/>
              <w:jc w:val="both"/>
              <w:rPr>
                <w:rFonts w:ascii="Times New Roman" w:hAnsi="Times New Roman" w:cs="Times New Roman"/>
              </w:rPr>
            </w:pPr>
            <w:r w:rsidRPr="003C0AFC">
              <w:rPr>
                <w:rFonts w:ascii="Times New Roman" w:hAnsi="Times New Roman" w:cs="Times New Roman"/>
                <w:bCs/>
              </w:rPr>
              <w:t xml:space="preserve">2) об установлении для некредитной финансовой организации индивидуальных предельных значений обязательных нормативов, </w:t>
            </w:r>
            <w:r w:rsidRPr="003C0AFC">
              <w:rPr>
                <w:rFonts w:ascii="Times New Roman" w:hAnsi="Times New Roman" w:cs="Times New Roman"/>
                <w:b/>
                <w:bCs/>
              </w:rPr>
              <w:t>в отношении которых федеральным законом предусмотрена возможность установления индивидуальных предельных значений</w:t>
            </w:r>
            <w:r w:rsidRPr="003C0AFC">
              <w:rPr>
                <w:rFonts w:ascii="Times New Roman" w:hAnsi="Times New Roman" w:cs="Times New Roman"/>
                <w:bCs/>
              </w:rPr>
              <w:t xml:space="preserve"> - по результатам оценки качества системы управления рисками некредитной финансовой организации, ее соответствия характеру совершаемых такой организацией операций.</w:t>
            </w:r>
          </w:p>
        </w:tc>
        <w:tc>
          <w:tcPr>
            <w:tcW w:w="4945" w:type="dxa"/>
          </w:tcPr>
          <w:p w14:paraId="2FD25B0E" w14:textId="503B886B" w:rsidR="00C44017" w:rsidRPr="003C0AFC" w:rsidRDefault="00C44017" w:rsidP="00A279A8">
            <w:pPr>
              <w:pStyle w:val="a3"/>
              <w:ind w:right="459"/>
              <w:rPr>
                <w:szCs w:val="24"/>
              </w:rPr>
            </w:pPr>
            <w:r w:rsidRPr="003C0AFC">
              <w:rPr>
                <w:szCs w:val="24"/>
              </w:rPr>
              <w:t>Необходимо прямо предусмотреть в соответствующих специальных законах (в отношении НПФ в 75-ФЗ), какие обязательные нормативы могут быть установлены ЦБ индивидуально</w:t>
            </w:r>
          </w:p>
        </w:tc>
      </w:tr>
      <w:tr w:rsidR="003C0AFC" w:rsidRPr="003C0AFC" w14:paraId="59E0C1A6" w14:textId="77777777" w:rsidTr="00A279A8">
        <w:trPr>
          <w:trHeight w:val="274"/>
          <w:jc w:val="center"/>
        </w:trPr>
        <w:tc>
          <w:tcPr>
            <w:tcW w:w="985" w:type="dxa"/>
          </w:tcPr>
          <w:p w14:paraId="15110CE6" w14:textId="0E1924EC" w:rsidR="0069206E" w:rsidRPr="003C0AFC" w:rsidRDefault="00C44017" w:rsidP="00A279A8">
            <w:pPr>
              <w:pStyle w:val="a3"/>
              <w:rPr>
                <w:spacing w:val="-2"/>
                <w:szCs w:val="24"/>
              </w:rPr>
            </w:pPr>
            <w:r w:rsidRPr="003C0AFC">
              <w:rPr>
                <w:spacing w:val="-2"/>
                <w:szCs w:val="24"/>
              </w:rPr>
              <w:t>7</w:t>
            </w:r>
          </w:p>
        </w:tc>
        <w:tc>
          <w:tcPr>
            <w:tcW w:w="3543" w:type="dxa"/>
          </w:tcPr>
          <w:p w14:paraId="4A2899D6" w14:textId="1E71EDDA" w:rsidR="0069206E" w:rsidRPr="003C0AFC" w:rsidRDefault="0069206E" w:rsidP="00A279A8">
            <w:pPr>
              <w:jc w:val="both"/>
              <w:rPr>
                <w:rFonts w:ascii="Times New Roman" w:hAnsi="Times New Roman" w:cs="Times New Roman"/>
                <w:lang w:val="en-US"/>
              </w:rPr>
            </w:pPr>
            <w:r w:rsidRPr="003C0AFC">
              <w:rPr>
                <w:rFonts w:ascii="Times New Roman" w:hAnsi="Times New Roman" w:cs="Times New Roman"/>
              </w:rPr>
              <w:t>Абзац 3 п. 2) Статьи 4</w:t>
            </w:r>
          </w:p>
        </w:tc>
        <w:tc>
          <w:tcPr>
            <w:tcW w:w="5977" w:type="dxa"/>
          </w:tcPr>
          <w:p w14:paraId="052395EC" w14:textId="77777777" w:rsidR="006208EF" w:rsidRPr="003C0AFC" w:rsidRDefault="006208EF" w:rsidP="006208EF">
            <w:pPr>
              <w:ind w:left="113" w:right="147"/>
              <w:jc w:val="both"/>
              <w:rPr>
                <w:rFonts w:ascii="Times New Roman" w:hAnsi="Times New Roman" w:cs="Times New Roman"/>
              </w:rPr>
            </w:pPr>
            <w:r w:rsidRPr="003C0AFC">
              <w:rPr>
                <w:rFonts w:ascii="Times New Roman" w:hAnsi="Times New Roman" w:cs="Times New Roman"/>
              </w:rPr>
              <w:t>В случае принятия Комитетом финансового надзора решения о признании лиц связанными, некредитная финансовая организация должна исполнить требование Банка России о приведении своей деятельности в соответствие в срок не менее 10 дней после получения.</w:t>
            </w:r>
          </w:p>
          <w:p w14:paraId="12A28F1F" w14:textId="413B2D1E" w:rsidR="0069206E" w:rsidRPr="003C0AFC" w:rsidRDefault="006208EF" w:rsidP="006208EF">
            <w:pPr>
              <w:jc w:val="both"/>
              <w:rPr>
                <w:rFonts w:ascii="Times New Roman" w:hAnsi="Times New Roman" w:cs="Times New Roman"/>
              </w:rPr>
            </w:pPr>
            <w:r w:rsidRPr="003C0AFC">
              <w:rPr>
                <w:rFonts w:ascii="Times New Roman" w:hAnsi="Times New Roman" w:cs="Times New Roman"/>
              </w:rPr>
              <w:t>Считаем необходимым увеличить минимально возможный срок до 3 месяцев.</w:t>
            </w:r>
          </w:p>
        </w:tc>
        <w:tc>
          <w:tcPr>
            <w:tcW w:w="4945" w:type="dxa"/>
          </w:tcPr>
          <w:p w14:paraId="01594CB7" w14:textId="77777777" w:rsidR="0069206E" w:rsidRPr="003C0AFC" w:rsidRDefault="0069206E" w:rsidP="00A279A8">
            <w:pPr>
              <w:pStyle w:val="a3"/>
              <w:ind w:right="459"/>
              <w:rPr>
                <w:szCs w:val="24"/>
              </w:rPr>
            </w:pPr>
          </w:p>
        </w:tc>
      </w:tr>
    </w:tbl>
    <w:p w14:paraId="62DC5360" w14:textId="77777777" w:rsidR="00A279A8" w:rsidRPr="003C0AFC" w:rsidRDefault="00A279A8" w:rsidP="00A279A8"/>
    <w:p w14:paraId="39777D1E" w14:textId="77777777" w:rsidR="00A279A8" w:rsidRPr="003C0AFC" w:rsidRDefault="00A279A8" w:rsidP="00A279A8">
      <w:pPr>
        <w:rPr>
          <w:sz w:val="28"/>
          <w:szCs w:val="28"/>
        </w:rPr>
      </w:pPr>
    </w:p>
    <w:p w14:paraId="3807A950" w14:textId="77777777" w:rsidR="00A279A8" w:rsidRPr="003C0AFC" w:rsidRDefault="00A279A8">
      <w:pPr>
        <w:rPr>
          <w:rFonts w:ascii="Times New Roman" w:hAnsi="Times New Roman" w:cs="Times New Roman"/>
        </w:rPr>
      </w:pPr>
    </w:p>
    <w:sectPr w:rsidR="00A279A8" w:rsidRPr="003C0AFC" w:rsidSect="00FA7774">
      <w:headerReference w:type="even" r:id="rId7"/>
      <w:headerReference w:type="default" r:id="rId8"/>
      <w:pgSz w:w="16840" w:h="11900" w:orient="landscape"/>
      <w:pgMar w:top="125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1DF46" w14:textId="77777777" w:rsidR="005B46A7" w:rsidRDefault="005B46A7" w:rsidP="006E1677">
      <w:r>
        <w:separator/>
      </w:r>
    </w:p>
  </w:endnote>
  <w:endnote w:type="continuationSeparator" w:id="0">
    <w:p w14:paraId="276F54FE" w14:textId="77777777" w:rsidR="005B46A7" w:rsidRDefault="005B46A7" w:rsidP="006E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71148" w14:textId="77777777" w:rsidR="005B46A7" w:rsidRDefault="005B46A7" w:rsidP="006E1677">
      <w:r>
        <w:separator/>
      </w:r>
    </w:p>
  </w:footnote>
  <w:footnote w:type="continuationSeparator" w:id="0">
    <w:p w14:paraId="2F33740B" w14:textId="77777777" w:rsidR="005B46A7" w:rsidRDefault="005B46A7" w:rsidP="006E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44EC3" w14:textId="77777777" w:rsidR="006E1677" w:rsidRDefault="006E1677" w:rsidP="00D5046D">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73CDA1" w14:textId="77777777" w:rsidR="006E1677" w:rsidRDefault="006E1677" w:rsidP="006E16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394B" w14:textId="38BD96BC" w:rsidR="006E1677" w:rsidRDefault="006E1677" w:rsidP="00D5046D">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D10F6">
      <w:rPr>
        <w:rStyle w:val="a6"/>
        <w:noProof/>
      </w:rPr>
      <w:t>1</w:t>
    </w:r>
    <w:r>
      <w:rPr>
        <w:rStyle w:val="a6"/>
      </w:rPr>
      <w:fldChar w:fldCharType="end"/>
    </w:r>
  </w:p>
  <w:p w14:paraId="438A432F" w14:textId="77777777" w:rsidR="006E1677" w:rsidRDefault="006E1677" w:rsidP="006E1677">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A8"/>
    <w:rsid w:val="0004796A"/>
    <w:rsid w:val="000949DF"/>
    <w:rsid w:val="00153F3D"/>
    <w:rsid w:val="001D52DA"/>
    <w:rsid w:val="001E0808"/>
    <w:rsid w:val="00290A0B"/>
    <w:rsid w:val="00295617"/>
    <w:rsid w:val="003C0AFC"/>
    <w:rsid w:val="00466434"/>
    <w:rsid w:val="004A11A5"/>
    <w:rsid w:val="00513638"/>
    <w:rsid w:val="0051572E"/>
    <w:rsid w:val="005B46A7"/>
    <w:rsid w:val="005D5A32"/>
    <w:rsid w:val="006208EF"/>
    <w:rsid w:val="0069206E"/>
    <w:rsid w:val="006D10F6"/>
    <w:rsid w:val="006E1677"/>
    <w:rsid w:val="00732D45"/>
    <w:rsid w:val="00783824"/>
    <w:rsid w:val="00827F3E"/>
    <w:rsid w:val="00865D8B"/>
    <w:rsid w:val="008B495B"/>
    <w:rsid w:val="008E485D"/>
    <w:rsid w:val="00981D8F"/>
    <w:rsid w:val="0099262F"/>
    <w:rsid w:val="009B3E56"/>
    <w:rsid w:val="009B7F8A"/>
    <w:rsid w:val="009C6F94"/>
    <w:rsid w:val="00A279A8"/>
    <w:rsid w:val="00C40529"/>
    <w:rsid w:val="00C44017"/>
    <w:rsid w:val="00C53E90"/>
    <w:rsid w:val="00F110FA"/>
    <w:rsid w:val="00F73DDE"/>
    <w:rsid w:val="00FA777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29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9A8"/>
    <w:pPr>
      <w:jc w:val="both"/>
    </w:pPr>
    <w:rPr>
      <w:rFonts w:ascii="Times New Roman" w:eastAsia="Calibri" w:hAnsi="Times New Roman" w:cs="Times New Roman"/>
      <w:szCs w:val="22"/>
    </w:rPr>
  </w:style>
  <w:style w:type="paragraph" w:styleId="a4">
    <w:name w:val="header"/>
    <w:basedOn w:val="a"/>
    <w:link w:val="a5"/>
    <w:uiPriority w:val="99"/>
    <w:unhideWhenUsed/>
    <w:rsid w:val="006E1677"/>
    <w:pPr>
      <w:tabs>
        <w:tab w:val="center" w:pos="4677"/>
        <w:tab w:val="right" w:pos="9355"/>
      </w:tabs>
    </w:pPr>
  </w:style>
  <w:style w:type="character" w:customStyle="1" w:styleId="a5">
    <w:name w:val="Верхний колонтитул Знак"/>
    <w:basedOn w:val="a0"/>
    <w:link w:val="a4"/>
    <w:uiPriority w:val="99"/>
    <w:rsid w:val="006E1677"/>
  </w:style>
  <w:style w:type="character" w:styleId="a6">
    <w:name w:val="page number"/>
    <w:basedOn w:val="a0"/>
    <w:uiPriority w:val="99"/>
    <w:semiHidden/>
    <w:unhideWhenUsed/>
    <w:rsid w:val="006E1677"/>
  </w:style>
  <w:style w:type="paragraph" w:styleId="a7">
    <w:name w:val="Balloon Text"/>
    <w:basedOn w:val="a"/>
    <w:link w:val="a8"/>
    <w:uiPriority w:val="99"/>
    <w:semiHidden/>
    <w:unhideWhenUsed/>
    <w:rsid w:val="00295617"/>
    <w:rPr>
      <w:rFonts w:ascii="Segoe UI" w:hAnsi="Segoe UI" w:cs="Segoe UI"/>
      <w:sz w:val="18"/>
      <w:szCs w:val="18"/>
    </w:rPr>
  </w:style>
  <w:style w:type="character" w:customStyle="1" w:styleId="a8">
    <w:name w:val="Текст выноски Знак"/>
    <w:basedOn w:val="a0"/>
    <w:link w:val="a7"/>
    <w:uiPriority w:val="99"/>
    <w:semiHidden/>
    <w:rsid w:val="00295617"/>
    <w:rPr>
      <w:rFonts w:ascii="Segoe UI" w:hAnsi="Segoe UI" w:cs="Segoe UI"/>
      <w:sz w:val="18"/>
      <w:szCs w:val="18"/>
    </w:rPr>
  </w:style>
  <w:style w:type="character" w:styleId="a9">
    <w:name w:val="annotation reference"/>
    <w:basedOn w:val="a0"/>
    <w:uiPriority w:val="99"/>
    <w:semiHidden/>
    <w:unhideWhenUsed/>
    <w:rsid w:val="008E485D"/>
    <w:rPr>
      <w:sz w:val="16"/>
      <w:szCs w:val="16"/>
    </w:rPr>
  </w:style>
  <w:style w:type="paragraph" w:styleId="aa">
    <w:name w:val="annotation text"/>
    <w:basedOn w:val="a"/>
    <w:link w:val="ab"/>
    <w:uiPriority w:val="99"/>
    <w:semiHidden/>
    <w:unhideWhenUsed/>
    <w:rsid w:val="008E485D"/>
    <w:rPr>
      <w:sz w:val="20"/>
      <w:szCs w:val="20"/>
    </w:rPr>
  </w:style>
  <w:style w:type="character" w:customStyle="1" w:styleId="ab">
    <w:name w:val="Текст примечания Знак"/>
    <w:basedOn w:val="a0"/>
    <w:link w:val="aa"/>
    <w:uiPriority w:val="99"/>
    <w:semiHidden/>
    <w:rsid w:val="008E485D"/>
    <w:rPr>
      <w:sz w:val="20"/>
      <w:szCs w:val="20"/>
    </w:rPr>
  </w:style>
  <w:style w:type="paragraph" w:styleId="ac">
    <w:name w:val="annotation subject"/>
    <w:basedOn w:val="aa"/>
    <w:next w:val="aa"/>
    <w:link w:val="ad"/>
    <w:uiPriority w:val="99"/>
    <w:semiHidden/>
    <w:unhideWhenUsed/>
    <w:rsid w:val="008E485D"/>
    <w:rPr>
      <w:b/>
      <w:bCs/>
    </w:rPr>
  </w:style>
  <w:style w:type="character" w:customStyle="1" w:styleId="ad">
    <w:name w:val="Тема примечания Знак"/>
    <w:basedOn w:val="ab"/>
    <w:link w:val="ac"/>
    <w:uiPriority w:val="99"/>
    <w:semiHidden/>
    <w:rsid w:val="008E485D"/>
    <w:rPr>
      <w:b/>
      <w:bCs/>
      <w:sz w:val="20"/>
      <w:szCs w:val="20"/>
    </w:rPr>
  </w:style>
  <w:style w:type="paragraph" w:styleId="ae">
    <w:name w:val="footer"/>
    <w:basedOn w:val="a"/>
    <w:link w:val="af"/>
    <w:uiPriority w:val="99"/>
    <w:unhideWhenUsed/>
    <w:rsid w:val="00FA7774"/>
    <w:pPr>
      <w:tabs>
        <w:tab w:val="center" w:pos="4677"/>
        <w:tab w:val="right" w:pos="9355"/>
      </w:tabs>
    </w:pPr>
  </w:style>
  <w:style w:type="character" w:customStyle="1" w:styleId="af">
    <w:name w:val="Нижний колонтитул Знак"/>
    <w:basedOn w:val="a0"/>
    <w:link w:val="ae"/>
    <w:uiPriority w:val="99"/>
    <w:rsid w:val="00FA7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9A8"/>
    <w:pPr>
      <w:jc w:val="both"/>
    </w:pPr>
    <w:rPr>
      <w:rFonts w:ascii="Times New Roman" w:eastAsia="Calibri" w:hAnsi="Times New Roman" w:cs="Times New Roman"/>
      <w:szCs w:val="22"/>
    </w:rPr>
  </w:style>
  <w:style w:type="paragraph" w:styleId="a4">
    <w:name w:val="header"/>
    <w:basedOn w:val="a"/>
    <w:link w:val="a5"/>
    <w:uiPriority w:val="99"/>
    <w:unhideWhenUsed/>
    <w:rsid w:val="006E1677"/>
    <w:pPr>
      <w:tabs>
        <w:tab w:val="center" w:pos="4677"/>
        <w:tab w:val="right" w:pos="9355"/>
      </w:tabs>
    </w:pPr>
  </w:style>
  <w:style w:type="character" w:customStyle="1" w:styleId="a5">
    <w:name w:val="Верхний колонтитул Знак"/>
    <w:basedOn w:val="a0"/>
    <w:link w:val="a4"/>
    <w:uiPriority w:val="99"/>
    <w:rsid w:val="006E1677"/>
  </w:style>
  <w:style w:type="character" w:styleId="a6">
    <w:name w:val="page number"/>
    <w:basedOn w:val="a0"/>
    <w:uiPriority w:val="99"/>
    <w:semiHidden/>
    <w:unhideWhenUsed/>
    <w:rsid w:val="006E1677"/>
  </w:style>
  <w:style w:type="paragraph" w:styleId="a7">
    <w:name w:val="Balloon Text"/>
    <w:basedOn w:val="a"/>
    <w:link w:val="a8"/>
    <w:uiPriority w:val="99"/>
    <w:semiHidden/>
    <w:unhideWhenUsed/>
    <w:rsid w:val="00295617"/>
    <w:rPr>
      <w:rFonts w:ascii="Segoe UI" w:hAnsi="Segoe UI" w:cs="Segoe UI"/>
      <w:sz w:val="18"/>
      <w:szCs w:val="18"/>
    </w:rPr>
  </w:style>
  <w:style w:type="character" w:customStyle="1" w:styleId="a8">
    <w:name w:val="Текст выноски Знак"/>
    <w:basedOn w:val="a0"/>
    <w:link w:val="a7"/>
    <w:uiPriority w:val="99"/>
    <w:semiHidden/>
    <w:rsid w:val="00295617"/>
    <w:rPr>
      <w:rFonts w:ascii="Segoe UI" w:hAnsi="Segoe UI" w:cs="Segoe UI"/>
      <w:sz w:val="18"/>
      <w:szCs w:val="18"/>
    </w:rPr>
  </w:style>
  <w:style w:type="character" w:styleId="a9">
    <w:name w:val="annotation reference"/>
    <w:basedOn w:val="a0"/>
    <w:uiPriority w:val="99"/>
    <w:semiHidden/>
    <w:unhideWhenUsed/>
    <w:rsid w:val="008E485D"/>
    <w:rPr>
      <w:sz w:val="16"/>
      <w:szCs w:val="16"/>
    </w:rPr>
  </w:style>
  <w:style w:type="paragraph" w:styleId="aa">
    <w:name w:val="annotation text"/>
    <w:basedOn w:val="a"/>
    <w:link w:val="ab"/>
    <w:uiPriority w:val="99"/>
    <w:semiHidden/>
    <w:unhideWhenUsed/>
    <w:rsid w:val="008E485D"/>
    <w:rPr>
      <w:sz w:val="20"/>
      <w:szCs w:val="20"/>
    </w:rPr>
  </w:style>
  <w:style w:type="character" w:customStyle="1" w:styleId="ab">
    <w:name w:val="Текст примечания Знак"/>
    <w:basedOn w:val="a0"/>
    <w:link w:val="aa"/>
    <w:uiPriority w:val="99"/>
    <w:semiHidden/>
    <w:rsid w:val="008E485D"/>
    <w:rPr>
      <w:sz w:val="20"/>
      <w:szCs w:val="20"/>
    </w:rPr>
  </w:style>
  <w:style w:type="paragraph" w:styleId="ac">
    <w:name w:val="annotation subject"/>
    <w:basedOn w:val="aa"/>
    <w:next w:val="aa"/>
    <w:link w:val="ad"/>
    <w:uiPriority w:val="99"/>
    <w:semiHidden/>
    <w:unhideWhenUsed/>
    <w:rsid w:val="008E485D"/>
    <w:rPr>
      <w:b/>
      <w:bCs/>
    </w:rPr>
  </w:style>
  <w:style w:type="character" w:customStyle="1" w:styleId="ad">
    <w:name w:val="Тема примечания Знак"/>
    <w:basedOn w:val="ab"/>
    <w:link w:val="ac"/>
    <w:uiPriority w:val="99"/>
    <w:semiHidden/>
    <w:rsid w:val="008E485D"/>
    <w:rPr>
      <w:b/>
      <w:bCs/>
      <w:sz w:val="20"/>
      <w:szCs w:val="20"/>
    </w:rPr>
  </w:style>
  <w:style w:type="paragraph" w:styleId="ae">
    <w:name w:val="footer"/>
    <w:basedOn w:val="a"/>
    <w:link w:val="af"/>
    <w:uiPriority w:val="99"/>
    <w:unhideWhenUsed/>
    <w:rsid w:val="00FA7774"/>
    <w:pPr>
      <w:tabs>
        <w:tab w:val="center" w:pos="4677"/>
        <w:tab w:val="right" w:pos="9355"/>
      </w:tabs>
    </w:pPr>
  </w:style>
  <w:style w:type="character" w:customStyle="1" w:styleId="af">
    <w:name w:val="Нижний колонтитул Знак"/>
    <w:basedOn w:val="a0"/>
    <w:link w:val="ae"/>
    <w:uiPriority w:val="99"/>
    <w:rsid w:val="00FA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8276</Characters>
  <Application>Microsoft Office Word</Application>
  <DocSecurity>4</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Алпеева Александра Юрьевна</cp:lastModifiedBy>
  <cp:revision>2</cp:revision>
  <dcterms:created xsi:type="dcterms:W3CDTF">2020-04-28T13:41:00Z</dcterms:created>
  <dcterms:modified xsi:type="dcterms:W3CDTF">2020-04-28T13:41:00Z</dcterms:modified>
</cp:coreProperties>
</file>