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8B" w:rsidRPr="00F86C48" w:rsidRDefault="00615C8B" w:rsidP="00604E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48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:rsidR="00604E3C" w:rsidRPr="006C1E9F" w:rsidRDefault="00615C8B" w:rsidP="00892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E9F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федерального закона </w:t>
      </w:r>
    </w:p>
    <w:p w:rsidR="00892BD2" w:rsidRDefault="00DD4F93" w:rsidP="00DD4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F93">
        <w:rPr>
          <w:rFonts w:ascii="Times New Roman" w:hAnsi="Times New Roman"/>
          <w:b/>
          <w:sz w:val="28"/>
          <w:szCs w:val="28"/>
        </w:rPr>
        <w:t>«О внесении изменений в часть вторую Налогового кодекса Российской Федерации в связи с принятием Федерального закона «О внесении изменений в некоторые законодательные акты Российской Федерации по вопросам негосударств</w:t>
      </w:r>
      <w:r w:rsidR="000F517F">
        <w:rPr>
          <w:rFonts w:ascii="Times New Roman" w:hAnsi="Times New Roman"/>
          <w:b/>
          <w:sz w:val="28"/>
          <w:szCs w:val="28"/>
        </w:rPr>
        <w:t>енного пенсионного обеспечения»</w:t>
      </w:r>
    </w:p>
    <w:p w:rsidR="00DD4F93" w:rsidRPr="006C1E9F" w:rsidRDefault="00DD4F93" w:rsidP="00DD4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F93" w:rsidRDefault="00DD4F93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3869B3" w:rsidRPr="006C1E9F">
        <w:rPr>
          <w:rFonts w:ascii="Times New Roman" w:hAnsi="Times New Roman" w:cs="Times New Roman"/>
          <w:sz w:val="28"/>
          <w:szCs w:val="28"/>
        </w:rPr>
        <w:t xml:space="preserve"> проекта федерального </w:t>
      </w:r>
      <w:hyperlink r:id="rId8" w:history="1">
        <w:r w:rsidR="003869B3" w:rsidRPr="006C1E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869B3" w:rsidRPr="006C1E9F">
        <w:rPr>
          <w:rFonts w:ascii="Times New Roman" w:hAnsi="Times New Roman" w:cs="Times New Roman"/>
          <w:sz w:val="28"/>
          <w:szCs w:val="28"/>
        </w:rPr>
        <w:t xml:space="preserve"> </w:t>
      </w:r>
      <w:r w:rsidRPr="00DD4F93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часть вторую Налогового кодекса Российской Федерации в связи с принятием Федерального закона «О внесении изменений в некоторые законодательные акты Российской Федерации по вопросам негосударственного пенсионн</w:t>
      </w:r>
      <w:r w:rsidR="000F517F">
        <w:rPr>
          <w:rFonts w:ascii="Times New Roman" w:eastAsia="Times New Roman" w:hAnsi="Times New Roman"/>
          <w:sz w:val="28"/>
          <w:szCs w:val="28"/>
          <w:lang w:eastAsia="ru-RU"/>
        </w:rPr>
        <w:t>ого обеспечения</w:t>
      </w:r>
      <w:bookmarkStart w:id="0" w:name="_GoBack"/>
      <w:bookmarkEnd w:id="0"/>
      <w:r w:rsidRPr="00DD4F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7019" w:rsidRPr="006C1E9F">
        <w:rPr>
          <w:rFonts w:ascii="Times New Roman" w:hAnsi="Times New Roman" w:cs="Times New Roman"/>
          <w:sz w:val="28"/>
          <w:szCs w:val="28"/>
        </w:rPr>
        <w:t xml:space="preserve"> </w:t>
      </w:r>
      <w:r w:rsidR="00DA7488">
        <w:rPr>
          <w:rFonts w:ascii="Times New Roman" w:hAnsi="Times New Roman" w:cs="Times New Roman"/>
          <w:sz w:val="28"/>
          <w:szCs w:val="28"/>
        </w:rPr>
        <w:t>приведет к выпадающим</w:t>
      </w:r>
      <w:r>
        <w:rPr>
          <w:rFonts w:ascii="Times New Roman" w:hAnsi="Times New Roman" w:cs="Times New Roman"/>
          <w:sz w:val="28"/>
          <w:szCs w:val="28"/>
        </w:rPr>
        <w:t xml:space="preserve"> доходам</w:t>
      </w:r>
      <w:r w:rsidRPr="00DD4F93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Федерации по налогу на доходы физических лиц (далее - НДФЛ) и налогу на прибыль организаций. </w:t>
      </w:r>
    </w:p>
    <w:p w:rsidR="00DD4F93" w:rsidRDefault="00162777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DD4F93" w:rsidRPr="00DD4F9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4F93" w:rsidRPr="00DD4F93"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 изменений в некоторые законодательные акты по вопросам негосударственного пенсионного обеспечения» </w:t>
      </w:r>
      <w:r>
        <w:rPr>
          <w:rFonts w:ascii="Times New Roman" w:hAnsi="Times New Roman" w:cs="Times New Roman"/>
          <w:sz w:val="28"/>
          <w:szCs w:val="28"/>
        </w:rPr>
        <w:t>гражданам будет предоставлена</w:t>
      </w:r>
      <w:r w:rsidR="00DD4F93" w:rsidRPr="00DD4F93">
        <w:rPr>
          <w:rFonts w:ascii="Times New Roman" w:hAnsi="Times New Roman" w:cs="Times New Roman"/>
          <w:sz w:val="28"/>
          <w:szCs w:val="28"/>
        </w:rPr>
        <w:t xml:space="preserve"> возможность заключить с негосударственными пенсионными фондами (далее – НПФ) пенсионный договор гарантированного пенсионного плана</w:t>
      </w:r>
      <w:r w:rsidR="00DD4F93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за счет личных взносов </w:t>
      </w:r>
      <w:r w:rsidRPr="00162777">
        <w:rPr>
          <w:rFonts w:ascii="Times New Roman" w:hAnsi="Times New Roman" w:cs="Times New Roman"/>
          <w:sz w:val="28"/>
          <w:szCs w:val="28"/>
        </w:rPr>
        <w:t>дополнительных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DA7488">
        <w:rPr>
          <w:rFonts w:ascii="Times New Roman" w:hAnsi="Times New Roman" w:cs="Times New Roman"/>
          <w:sz w:val="28"/>
          <w:szCs w:val="28"/>
        </w:rPr>
        <w:t>пенсионного дохода</w:t>
      </w:r>
      <w:r w:rsidR="00DD4F93" w:rsidRPr="00DD4F93">
        <w:rPr>
          <w:rFonts w:ascii="Times New Roman" w:hAnsi="Times New Roman" w:cs="Times New Roman"/>
          <w:sz w:val="28"/>
          <w:szCs w:val="28"/>
        </w:rPr>
        <w:t>.</w:t>
      </w:r>
    </w:p>
    <w:p w:rsidR="00162777" w:rsidRDefault="00162777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162777"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 изменений в некоторые законодательные акты по вопросам негосударственного пенсионного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не предусм</w:t>
      </w:r>
      <w:r w:rsidR="00DA7488">
        <w:rPr>
          <w:rFonts w:ascii="Times New Roman" w:hAnsi="Times New Roman" w:cs="Times New Roman"/>
          <w:sz w:val="28"/>
          <w:szCs w:val="28"/>
        </w:rPr>
        <w:t>атривает ограничений по участию граждан</w:t>
      </w:r>
      <w:r>
        <w:rPr>
          <w:rFonts w:ascii="Times New Roman" w:hAnsi="Times New Roman" w:cs="Times New Roman"/>
          <w:sz w:val="28"/>
          <w:szCs w:val="28"/>
        </w:rPr>
        <w:t xml:space="preserve"> в гарантированных пенсионных планах по возрасту</w:t>
      </w:r>
      <w:r w:rsidR="00F829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уровню заработной платы</w:t>
      </w:r>
      <w:r w:rsidR="00F82903">
        <w:rPr>
          <w:rFonts w:ascii="Times New Roman" w:hAnsi="Times New Roman" w:cs="Times New Roman"/>
          <w:sz w:val="28"/>
          <w:szCs w:val="28"/>
        </w:rPr>
        <w:t>, размеру пенсионных взносов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F93" w:rsidRPr="006C1E9F" w:rsidRDefault="00162777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9A32BD">
        <w:rPr>
          <w:rFonts w:ascii="Times New Roman" w:hAnsi="Times New Roman" w:cs="Times New Roman"/>
          <w:sz w:val="28"/>
          <w:szCs w:val="28"/>
        </w:rPr>
        <w:t>предполагаем</w:t>
      </w:r>
      <w:r w:rsidR="00DD4F93" w:rsidRPr="00DD4F93">
        <w:rPr>
          <w:rFonts w:ascii="Times New Roman" w:hAnsi="Times New Roman" w:cs="Times New Roman"/>
          <w:sz w:val="28"/>
          <w:szCs w:val="28"/>
        </w:rPr>
        <w:t xml:space="preserve">, что основными активными </w:t>
      </w:r>
      <w:r w:rsidR="009A32BD">
        <w:rPr>
          <w:rFonts w:ascii="Times New Roman" w:hAnsi="Times New Roman" w:cs="Times New Roman"/>
          <w:sz w:val="28"/>
          <w:szCs w:val="28"/>
        </w:rPr>
        <w:t>участниками гарантированного пенсионного плана в 2021 году могут стать</w:t>
      </w:r>
      <w:r w:rsidR="00EE6B74">
        <w:rPr>
          <w:rFonts w:ascii="Times New Roman" w:hAnsi="Times New Roman" w:cs="Times New Roman"/>
          <w:sz w:val="28"/>
          <w:szCs w:val="28"/>
        </w:rPr>
        <w:t xml:space="preserve"> около 1 млн. человек со средней</w:t>
      </w:r>
      <w:r w:rsidR="009A32BD">
        <w:rPr>
          <w:rFonts w:ascii="Times New Roman" w:hAnsi="Times New Roman" w:cs="Times New Roman"/>
          <w:sz w:val="28"/>
          <w:szCs w:val="28"/>
        </w:rPr>
        <w:t xml:space="preserve"> ставкой пенсионного взноса 2 </w:t>
      </w:r>
      <w:r w:rsidR="00826C0F">
        <w:rPr>
          <w:rFonts w:ascii="Times New Roman" w:hAnsi="Times New Roman" w:cs="Times New Roman"/>
          <w:sz w:val="28"/>
          <w:szCs w:val="28"/>
        </w:rPr>
        <w:t>процента</w:t>
      </w:r>
      <w:r w:rsidR="009A32BD">
        <w:rPr>
          <w:rFonts w:ascii="Times New Roman" w:hAnsi="Times New Roman" w:cs="Times New Roman"/>
          <w:sz w:val="28"/>
          <w:szCs w:val="28"/>
        </w:rPr>
        <w:t xml:space="preserve"> от заработной платы</w:t>
      </w:r>
      <w:r w:rsidR="00EE6B74">
        <w:rPr>
          <w:rFonts w:ascii="Times New Roman" w:hAnsi="Times New Roman" w:cs="Times New Roman"/>
          <w:sz w:val="28"/>
          <w:szCs w:val="28"/>
        </w:rPr>
        <w:t xml:space="preserve"> с постепенным ростом </w:t>
      </w:r>
      <w:r w:rsidR="006F523F">
        <w:rPr>
          <w:rFonts w:ascii="Times New Roman" w:hAnsi="Times New Roman" w:cs="Times New Roman"/>
          <w:sz w:val="28"/>
          <w:szCs w:val="28"/>
        </w:rPr>
        <w:t xml:space="preserve">указанных показателей </w:t>
      </w:r>
      <w:r w:rsidR="00EE6B74">
        <w:rPr>
          <w:rFonts w:ascii="Times New Roman" w:hAnsi="Times New Roman" w:cs="Times New Roman"/>
          <w:sz w:val="28"/>
          <w:szCs w:val="28"/>
        </w:rPr>
        <w:t>в последующие годы</w:t>
      </w:r>
      <w:r w:rsidR="009A32BD">
        <w:rPr>
          <w:rFonts w:ascii="Times New Roman" w:hAnsi="Times New Roman" w:cs="Times New Roman"/>
          <w:sz w:val="28"/>
          <w:szCs w:val="28"/>
        </w:rPr>
        <w:t>.</w:t>
      </w:r>
    </w:p>
    <w:p w:rsidR="00DD4F93" w:rsidRPr="00DD4F93" w:rsidRDefault="00DD4F93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93">
        <w:rPr>
          <w:rFonts w:ascii="Times New Roman" w:hAnsi="Times New Roman" w:cs="Times New Roman"/>
          <w:sz w:val="28"/>
          <w:szCs w:val="28"/>
        </w:rPr>
        <w:t xml:space="preserve">Выпадающие доходы по НДФЛ определяются как сумма фактически произведенных налогоплательщиком расходов на пенсионные взносы </w:t>
      </w:r>
      <w:r w:rsidR="00662C09">
        <w:rPr>
          <w:rFonts w:ascii="Times New Roman" w:hAnsi="Times New Roman" w:cs="Times New Roman"/>
          <w:sz w:val="28"/>
          <w:szCs w:val="28"/>
        </w:rPr>
        <w:t>гарантированному пенсионному плану</w:t>
      </w:r>
      <w:r w:rsidRPr="00DD4F93">
        <w:rPr>
          <w:rFonts w:ascii="Times New Roman" w:hAnsi="Times New Roman" w:cs="Times New Roman"/>
          <w:sz w:val="28"/>
          <w:szCs w:val="28"/>
        </w:rPr>
        <w:t xml:space="preserve">, но не более 6 процентов от базы для начисления страховых взносов на обязательное пенсионное страхование за соответствующий налоговый период для наемных работников и в размере фактически произведенных налогоплательщиком расходов на пенсионные взносы </w:t>
      </w:r>
      <w:r w:rsidR="00662C09">
        <w:rPr>
          <w:rFonts w:ascii="Times New Roman" w:hAnsi="Times New Roman" w:cs="Times New Roman"/>
          <w:sz w:val="28"/>
          <w:szCs w:val="28"/>
        </w:rPr>
        <w:t>по гарантированному пенсионному плану</w:t>
      </w:r>
      <w:r w:rsidRPr="00DD4F93">
        <w:rPr>
          <w:rFonts w:ascii="Times New Roman" w:hAnsi="Times New Roman" w:cs="Times New Roman"/>
          <w:sz w:val="28"/>
          <w:szCs w:val="28"/>
        </w:rPr>
        <w:t>, но не более 6 процентов от налоговой базы для исчисления НДФЛ за соответствующий налоговый период для лиц, уплачивающих налоги самостоятельно.</w:t>
      </w:r>
      <w:r w:rsidR="0098514C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98514C" w:rsidRPr="0098514C">
        <w:rPr>
          <w:rFonts w:ascii="Times New Roman" w:hAnsi="Times New Roman" w:cs="Times New Roman"/>
          <w:sz w:val="28"/>
          <w:szCs w:val="28"/>
        </w:rPr>
        <w:t xml:space="preserve">ыпадающие доходы по НДФЛ </w:t>
      </w:r>
      <w:r w:rsidR="0098514C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98514C" w:rsidRPr="0098514C">
        <w:rPr>
          <w:rFonts w:ascii="Times New Roman" w:hAnsi="Times New Roman" w:cs="Times New Roman"/>
          <w:sz w:val="28"/>
          <w:szCs w:val="28"/>
        </w:rPr>
        <w:t xml:space="preserve">суммы добровольных взносов работодателя по гарантированному пенсионному плану, осуществляемых работодателем в пользу участника гарантированного пенсионного плана, в сумме уплаченных работодателем </w:t>
      </w:r>
      <w:r w:rsidR="0098514C" w:rsidRPr="0098514C">
        <w:rPr>
          <w:rFonts w:ascii="Times New Roman" w:hAnsi="Times New Roman" w:cs="Times New Roman"/>
          <w:sz w:val="28"/>
          <w:szCs w:val="28"/>
        </w:rPr>
        <w:lastRenderedPageBreak/>
        <w:t>взносов, но не более суммы пенсионных взносов по гарантированному пенсионному плану, исчисленных, удержанных и уплаченных данным работодателем за счет выплат по трудовым договорам (контрактам) соответствующего работника – участника гарантированного пенсионного плана за каждый месяц, а также не более 12 000 рублей в год в расчете на каждого работника, в пользу которого уп</w:t>
      </w:r>
      <w:r w:rsidR="0098514C">
        <w:rPr>
          <w:rFonts w:ascii="Times New Roman" w:hAnsi="Times New Roman" w:cs="Times New Roman"/>
          <w:sz w:val="28"/>
          <w:szCs w:val="28"/>
        </w:rPr>
        <w:t>лачивались взносы работодателем.</w:t>
      </w:r>
    </w:p>
    <w:p w:rsidR="00615C8B" w:rsidRDefault="00DD4F93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93">
        <w:rPr>
          <w:rFonts w:ascii="Times New Roman" w:hAnsi="Times New Roman" w:cs="Times New Roman"/>
          <w:sz w:val="28"/>
          <w:szCs w:val="28"/>
        </w:rPr>
        <w:t>Выпадающие доходы по НДФЛ могут состав</w:t>
      </w:r>
      <w:r w:rsidR="00662C09">
        <w:rPr>
          <w:rFonts w:ascii="Times New Roman" w:hAnsi="Times New Roman" w:cs="Times New Roman"/>
          <w:sz w:val="28"/>
          <w:szCs w:val="28"/>
        </w:rPr>
        <w:t xml:space="preserve">ить от </w:t>
      </w:r>
      <w:r w:rsidR="009A32BD">
        <w:rPr>
          <w:rFonts w:ascii="Times New Roman" w:hAnsi="Times New Roman" w:cs="Times New Roman"/>
          <w:sz w:val="28"/>
          <w:szCs w:val="28"/>
        </w:rPr>
        <w:t>4,4</w:t>
      </w:r>
      <w:r w:rsidR="00662C09">
        <w:rPr>
          <w:rFonts w:ascii="Times New Roman" w:hAnsi="Times New Roman" w:cs="Times New Roman"/>
          <w:sz w:val="28"/>
          <w:szCs w:val="28"/>
        </w:rPr>
        <w:t xml:space="preserve"> млрд. руб. в первый год (2021 год) </w:t>
      </w:r>
      <w:r w:rsidR="00DA7488">
        <w:rPr>
          <w:rFonts w:ascii="Times New Roman" w:hAnsi="Times New Roman" w:cs="Times New Roman"/>
          <w:sz w:val="28"/>
          <w:szCs w:val="28"/>
        </w:rPr>
        <w:t xml:space="preserve">с начала действия гарантированного пенсионного плана </w:t>
      </w:r>
      <w:r w:rsidR="00826C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2C09">
        <w:rPr>
          <w:rFonts w:ascii="Times New Roman" w:hAnsi="Times New Roman" w:cs="Times New Roman"/>
          <w:sz w:val="28"/>
          <w:szCs w:val="28"/>
        </w:rPr>
        <w:t xml:space="preserve">до </w:t>
      </w:r>
      <w:r w:rsidR="009A32BD">
        <w:rPr>
          <w:rFonts w:ascii="Times New Roman" w:hAnsi="Times New Roman" w:cs="Times New Roman"/>
          <w:sz w:val="28"/>
          <w:szCs w:val="28"/>
        </w:rPr>
        <w:t>7,5 млрд. руб. к 2030</w:t>
      </w:r>
      <w:r w:rsidR="00662C0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D4F93" w:rsidRPr="00DD4F93" w:rsidRDefault="00DD4F93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93">
        <w:rPr>
          <w:rFonts w:ascii="Times New Roman" w:hAnsi="Times New Roman" w:cs="Times New Roman"/>
          <w:sz w:val="28"/>
          <w:szCs w:val="28"/>
        </w:rPr>
        <w:t xml:space="preserve">Выпадающие доходы по налогу на прибыль определяются как сумма, не превышающая 6 процентов пенсионных взносов </w:t>
      </w:r>
      <w:r w:rsidR="000D63DC">
        <w:rPr>
          <w:rFonts w:ascii="Times New Roman" w:hAnsi="Times New Roman" w:cs="Times New Roman"/>
          <w:sz w:val="28"/>
          <w:szCs w:val="28"/>
        </w:rPr>
        <w:t>по гарантированному пенсионному плану</w:t>
      </w:r>
      <w:r w:rsidRPr="00DD4F93">
        <w:rPr>
          <w:rFonts w:ascii="Times New Roman" w:hAnsi="Times New Roman" w:cs="Times New Roman"/>
          <w:sz w:val="28"/>
          <w:szCs w:val="28"/>
        </w:rPr>
        <w:t xml:space="preserve">, исчисленных и удержанных работодателем из доходов каждого работника-участника </w:t>
      </w:r>
      <w:r w:rsidR="000D63DC">
        <w:rPr>
          <w:rFonts w:ascii="Times New Roman" w:hAnsi="Times New Roman" w:cs="Times New Roman"/>
          <w:sz w:val="28"/>
          <w:szCs w:val="28"/>
        </w:rPr>
        <w:t>гарантированного пенсионного плана</w:t>
      </w:r>
      <w:r w:rsidRPr="00DD4F93">
        <w:rPr>
          <w:rFonts w:ascii="Times New Roman" w:hAnsi="Times New Roman" w:cs="Times New Roman"/>
          <w:sz w:val="28"/>
          <w:szCs w:val="28"/>
        </w:rPr>
        <w:t>, умноженная на соответствующий коэффициент. Размер данного</w:t>
      </w:r>
      <w:r w:rsidR="009A32BD">
        <w:rPr>
          <w:rFonts w:ascii="Times New Roman" w:hAnsi="Times New Roman" w:cs="Times New Roman"/>
          <w:sz w:val="28"/>
          <w:szCs w:val="28"/>
        </w:rPr>
        <w:t xml:space="preserve"> коэффициента в первые 5</w:t>
      </w:r>
      <w:r w:rsidRPr="00DD4F93">
        <w:rPr>
          <w:rFonts w:ascii="Times New Roman" w:hAnsi="Times New Roman" w:cs="Times New Roman"/>
          <w:sz w:val="28"/>
          <w:szCs w:val="28"/>
        </w:rPr>
        <w:t xml:space="preserve"> лет со дня включения работника в реестр </w:t>
      </w:r>
      <w:r w:rsidR="000D63DC">
        <w:rPr>
          <w:rFonts w:ascii="Times New Roman" w:hAnsi="Times New Roman" w:cs="Times New Roman"/>
          <w:sz w:val="28"/>
          <w:szCs w:val="28"/>
        </w:rPr>
        <w:t>участников гарантированного пенсионного плана</w:t>
      </w:r>
      <w:r w:rsidRPr="00DD4F93">
        <w:rPr>
          <w:rFonts w:ascii="Times New Roman" w:hAnsi="Times New Roman" w:cs="Times New Roman"/>
          <w:sz w:val="28"/>
          <w:szCs w:val="28"/>
        </w:rPr>
        <w:t xml:space="preserve"> равен 0.03, и в посл</w:t>
      </w:r>
      <w:r w:rsidR="000D63DC">
        <w:rPr>
          <w:rFonts w:ascii="Times New Roman" w:hAnsi="Times New Roman" w:cs="Times New Roman"/>
          <w:sz w:val="28"/>
          <w:szCs w:val="28"/>
        </w:rPr>
        <w:t>едующие годы -</w:t>
      </w:r>
      <w:r w:rsidRPr="00DD4F93">
        <w:rPr>
          <w:rFonts w:ascii="Times New Roman" w:hAnsi="Times New Roman" w:cs="Times New Roman"/>
          <w:sz w:val="28"/>
          <w:szCs w:val="28"/>
        </w:rPr>
        <w:t xml:space="preserve"> 0.06.</w:t>
      </w:r>
      <w:r w:rsidR="006F523F" w:rsidRPr="006F523F">
        <w:rPr>
          <w:rFonts w:ascii="Times New Roman" w:hAnsi="Times New Roman" w:cs="Times New Roman"/>
          <w:sz w:val="30"/>
          <w:szCs w:val="30"/>
        </w:rPr>
        <w:t xml:space="preserve"> </w:t>
      </w:r>
      <w:r w:rsidR="006F523F" w:rsidRPr="006F523F">
        <w:rPr>
          <w:rFonts w:ascii="Times New Roman" w:hAnsi="Times New Roman" w:cs="Times New Roman"/>
          <w:sz w:val="28"/>
          <w:szCs w:val="28"/>
        </w:rPr>
        <w:t xml:space="preserve">Исчисленный таким образом совокупный показатель по всем работникам не может превышать 12 процентов от общей суммы расходов на оплату труда без учета расходов, указанных в пунктах 16 и 24.2 статьи 255 </w:t>
      </w:r>
      <w:r w:rsidR="006F523F">
        <w:rPr>
          <w:rFonts w:ascii="Times New Roman" w:hAnsi="Times New Roman" w:cs="Times New Roman"/>
          <w:sz w:val="28"/>
          <w:szCs w:val="28"/>
        </w:rPr>
        <w:t>НК РФ</w:t>
      </w:r>
      <w:r w:rsidR="006F523F" w:rsidRPr="006F523F">
        <w:rPr>
          <w:rFonts w:ascii="Times New Roman" w:hAnsi="Times New Roman" w:cs="Times New Roman"/>
          <w:sz w:val="28"/>
          <w:szCs w:val="28"/>
        </w:rPr>
        <w:t>.</w:t>
      </w:r>
    </w:p>
    <w:p w:rsidR="00DD4F93" w:rsidRPr="009A32BD" w:rsidRDefault="00DD4F93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BD">
        <w:rPr>
          <w:rFonts w:ascii="Times New Roman" w:hAnsi="Times New Roman" w:cs="Times New Roman"/>
          <w:sz w:val="28"/>
          <w:szCs w:val="28"/>
        </w:rPr>
        <w:t>Выпадающие доходы по налог</w:t>
      </w:r>
      <w:r w:rsidR="00CF7829" w:rsidRPr="009A32BD">
        <w:rPr>
          <w:rFonts w:ascii="Times New Roman" w:hAnsi="Times New Roman" w:cs="Times New Roman"/>
          <w:sz w:val="28"/>
          <w:szCs w:val="28"/>
        </w:rPr>
        <w:t>у на прибыль могут составить от 0,2 млрд.  руб. в первый год (2021</w:t>
      </w:r>
      <w:r w:rsidRPr="009A32BD">
        <w:rPr>
          <w:rFonts w:ascii="Times New Roman" w:hAnsi="Times New Roman" w:cs="Times New Roman"/>
          <w:sz w:val="28"/>
          <w:szCs w:val="28"/>
        </w:rPr>
        <w:t xml:space="preserve"> год) реализации </w:t>
      </w:r>
      <w:r w:rsidR="009A32BD">
        <w:rPr>
          <w:rFonts w:ascii="Times New Roman" w:hAnsi="Times New Roman" w:cs="Times New Roman"/>
          <w:sz w:val="28"/>
          <w:szCs w:val="28"/>
        </w:rPr>
        <w:t>системы до 0,7 млрд. руб. к 2030</w:t>
      </w:r>
      <w:r w:rsidRPr="009A32BD">
        <w:rPr>
          <w:rFonts w:ascii="Times New Roman" w:hAnsi="Times New Roman" w:cs="Times New Roman"/>
          <w:sz w:val="28"/>
          <w:szCs w:val="28"/>
        </w:rPr>
        <w:t xml:space="preserve"> году. Увеличение выпадающих доходов связано с применением коэф</w:t>
      </w:r>
      <w:r w:rsidR="006F523F">
        <w:rPr>
          <w:rFonts w:ascii="Times New Roman" w:hAnsi="Times New Roman" w:cs="Times New Roman"/>
          <w:sz w:val="28"/>
          <w:szCs w:val="28"/>
        </w:rPr>
        <w:t>фициента 0,06 вместо 0,03 с 2027</w:t>
      </w:r>
      <w:r w:rsidRPr="009A32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4F93" w:rsidRPr="00F86C48" w:rsidRDefault="00DD4F93" w:rsidP="00826C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4F93" w:rsidRPr="00F86C48" w:rsidSect="00086B81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52" w:rsidRDefault="002C7752">
      <w:pPr>
        <w:spacing w:after="0" w:line="240" w:lineRule="auto"/>
      </w:pPr>
      <w:r>
        <w:separator/>
      </w:r>
    </w:p>
  </w:endnote>
  <w:endnote w:type="continuationSeparator" w:id="0">
    <w:p w:rsidR="002C7752" w:rsidRDefault="002C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52" w:rsidRDefault="002C7752">
      <w:pPr>
        <w:spacing w:after="0" w:line="240" w:lineRule="auto"/>
      </w:pPr>
      <w:r>
        <w:separator/>
      </w:r>
    </w:p>
  </w:footnote>
  <w:footnote w:type="continuationSeparator" w:id="0">
    <w:p w:rsidR="002C7752" w:rsidRDefault="002C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3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488" w:rsidRPr="00DA7488" w:rsidRDefault="00DA7488">
        <w:pPr>
          <w:pStyle w:val="a3"/>
          <w:jc w:val="center"/>
          <w:rPr>
            <w:rFonts w:ascii="Times New Roman" w:hAnsi="Times New Roman" w:cs="Times New Roman"/>
          </w:rPr>
        </w:pPr>
        <w:r w:rsidRPr="00DA7488">
          <w:rPr>
            <w:rFonts w:ascii="Times New Roman" w:hAnsi="Times New Roman" w:cs="Times New Roman"/>
          </w:rPr>
          <w:fldChar w:fldCharType="begin"/>
        </w:r>
        <w:r w:rsidRPr="00DA7488">
          <w:rPr>
            <w:rFonts w:ascii="Times New Roman" w:hAnsi="Times New Roman" w:cs="Times New Roman"/>
          </w:rPr>
          <w:instrText>PAGE   \* MERGEFORMAT</w:instrText>
        </w:r>
        <w:r w:rsidRPr="00DA7488">
          <w:rPr>
            <w:rFonts w:ascii="Times New Roman" w:hAnsi="Times New Roman" w:cs="Times New Roman"/>
          </w:rPr>
          <w:fldChar w:fldCharType="separate"/>
        </w:r>
        <w:r w:rsidR="000F517F">
          <w:rPr>
            <w:rFonts w:ascii="Times New Roman" w:hAnsi="Times New Roman" w:cs="Times New Roman"/>
            <w:noProof/>
          </w:rPr>
          <w:t>2</w:t>
        </w:r>
        <w:r w:rsidRPr="00DA7488">
          <w:rPr>
            <w:rFonts w:ascii="Times New Roman" w:hAnsi="Times New Roman" w:cs="Times New Roman"/>
          </w:rPr>
          <w:fldChar w:fldCharType="end"/>
        </w:r>
      </w:p>
    </w:sdtContent>
  </w:sdt>
  <w:p w:rsidR="00DA7488" w:rsidRDefault="00DA7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81" w:rsidRDefault="002C7752">
    <w:pPr>
      <w:pStyle w:val="a3"/>
      <w:jc w:val="center"/>
    </w:pPr>
  </w:p>
  <w:p w:rsidR="00086B81" w:rsidRDefault="002C7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8B"/>
    <w:rsid w:val="00025677"/>
    <w:rsid w:val="00081DCE"/>
    <w:rsid w:val="000C0413"/>
    <w:rsid w:val="000C3F29"/>
    <w:rsid w:val="000D544E"/>
    <w:rsid w:val="000D5838"/>
    <w:rsid w:val="000D63DC"/>
    <w:rsid w:val="000E4729"/>
    <w:rsid w:val="000F517F"/>
    <w:rsid w:val="00123DDD"/>
    <w:rsid w:val="00127FDF"/>
    <w:rsid w:val="00162777"/>
    <w:rsid w:val="001B514E"/>
    <w:rsid w:val="001C2E78"/>
    <w:rsid w:val="001F6E8C"/>
    <w:rsid w:val="00212E53"/>
    <w:rsid w:val="00264B44"/>
    <w:rsid w:val="00287943"/>
    <w:rsid w:val="002C7752"/>
    <w:rsid w:val="002D269C"/>
    <w:rsid w:val="002E2ADA"/>
    <w:rsid w:val="00302A4F"/>
    <w:rsid w:val="00311B3F"/>
    <w:rsid w:val="0031210B"/>
    <w:rsid w:val="00314F04"/>
    <w:rsid w:val="00335CF8"/>
    <w:rsid w:val="00367019"/>
    <w:rsid w:val="003750F1"/>
    <w:rsid w:val="003869B3"/>
    <w:rsid w:val="003F2F5A"/>
    <w:rsid w:val="00404A24"/>
    <w:rsid w:val="00415A3C"/>
    <w:rsid w:val="00440B79"/>
    <w:rsid w:val="00473405"/>
    <w:rsid w:val="00497C70"/>
    <w:rsid w:val="004C0853"/>
    <w:rsid w:val="004F3638"/>
    <w:rsid w:val="005338A9"/>
    <w:rsid w:val="005373EF"/>
    <w:rsid w:val="005820D6"/>
    <w:rsid w:val="005935E6"/>
    <w:rsid w:val="005A1616"/>
    <w:rsid w:val="005A61B1"/>
    <w:rsid w:val="00604E3C"/>
    <w:rsid w:val="00611A24"/>
    <w:rsid w:val="00615C8B"/>
    <w:rsid w:val="00656528"/>
    <w:rsid w:val="00662C09"/>
    <w:rsid w:val="00670CA4"/>
    <w:rsid w:val="00676168"/>
    <w:rsid w:val="00676DDC"/>
    <w:rsid w:val="006C1E9F"/>
    <w:rsid w:val="006F523F"/>
    <w:rsid w:val="007323D7"/>
    <w:rsid w:val="00762F9F"/>
    <w:rsid w:val="007843FA"/>
    <w:rsid w:val="00797584"/>
    <w:rsid w:val="007C70C9"/>
    <w:rsid w:val="008052D9"/>
    <w:rsid w:val="00814346"/>
    <w:rsid w:val="00820412"/>
    <w:rsid w:val="008247BD"/>
    <w:rsid w:val="00826C0F"/>
    <w:rsid w:val="00850E88"/>
    <w:rsid w:val="00892BD2"/>
    <w:rsid w:val="00902116"/>
    <w:rsid w:val="00904F86"/>
    <w:rsid w:val="009072F2"/>
    <w:rsid w:val="0093407F"/>
    <w:rsid w:val="00984D8E"/>
    <w:rsid w:val="0098514C"/>
    <w:rsid w:val="009A32BD"/>
    <w:rsid w:val="00A0515E"/>
    <w:rsid w:val="00A27942"/>
    <w:rsid w:val="00A50C3D"/>
    <w:rsid w:val="00A74551"/>
    <w:rsid w:val="00AB7235"/>
    <w:rsid w:val="00AC077E"/>
    <w:rsid w:val="00B13098"/>
    <w:rsid w:val="00B1616C"/>
    <w:rsid w:val="00B81CC9"/>
    <w:rsid w:val="00BA3773"/>
    <w:rsid w:val="00BE297D"/>
    <w:rsid w:val="00C160F3"/>
    <w:rsid w:val="00C26F30"/>
    <w:rsid w:val="00C86104"/>
    <w:rsid w:val="00CA6C52"/>
    <w:rsid w:val="00CF7829"/>
    <w:rsid w:val="00D36080"/>
    <w:rsid w:val="00D37DD6"/>
    <w:rsid w:val="00D5552C"/>
    <w:rsid w:val="00D80E76"/>
    <w:rsid w:val="00DA7488"/>
    <w:rsid w:val="00DB64EA"/>
    <w:rsid w:val="00DD4F93"/>
    <w:rsid w:val="00DF63E9"/>
    <w:rsid w:val="00E474AB"/>
    <w:rsid w:val="00EA0198"/>
    <w:rsid w:val="00EE6B74"/>
    <w:rsid w:val="00F429A3"/>
    <w:rsid w:val="00F465A8"/>
    <w:rsid w:val="00F64A49"/>
    <w:rsid w:val="00F82903"/>
    <w:rsid w:val="00FB0E09"/>
    <w:rsid w:val="00FE01E2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8B"/>
  </w:style>
  <w:style w:type="paragraph" w:styleId="a5">
    <w:name w:val="footer"/>
    <w:basedOn w:val="a"/>
    <w:link w:val="a6"/>
    <w:uiPriority w:val="99"/>
    <w:unhideWhenUsed/>
    <w:rsid w:val="00D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8B"/>
  </w:style>
  <w:style w:type="paragraph" w:styleId="a5">
    <w:name w:val="footer"/>
    <w:basedOn w:val="a"/>
    <w:link w:val="a6"/>
    <w:uiPriority w:val="99"/>
    <w:unhideWhenUsed/>
    <w:rsid w:val="00D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09C9D520AD400D060F400D4033C60ED197522B3FE0F2AE4EFEAF630K1T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75AE-6A0D-4846-B353-75772A8E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 АНЖЕЛА СЕРГЕЕВНА</dc:creator>
  <cp:lastModifiedBy>РУЗАЕВА ЕКАТЕРИНА НИКОЛАЕВНА</cp:lastModifiedBy>
  <cp:revision>18</cp:revision>
  <cp:lastPrinted>2019-10-28T11:55:00Z</cp:lastPrinted>
  <dcterms:created xsi:type="dcterms:W3CDTF">2019-09-12T10:58:00Z</dcterms:created>
  <dcterms:modified xsi:type="dcterms:W3CDTF">2019-10-28T11:55:00Z</dcterms:modified>
</cp:coreProperties>
</file>