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296" w:rsidRPr="00A11296" w:rsidRDefault="00A11296" w:rsidP="00A1129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11296">
        <w:rPr>
          <w:rFonts w:ascii="Times New Roman" w:eastAsia="Times New Roman" w:hAnsi="Times New Roman" w:cs="Times New Roman"/>
          <w:sz w:val="24"/>
          <w:szCs w:val="24"/>
        </w:rPr>
        <w:t>Приложение</w:t>
      </w:r>
    </w:p>
    <w:p w:rsidR="00805198" w:rsidRDefault="00805198" w:rsidP="00A328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14BD" w:rsidRPr="00C514BD" w:rsidRDefault="00C514BD" w:rsidP="00A3284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14BD">
        <w:rPr>
          <w:rFonts w:ascii="Times New Roman" w:hAnsi="Times New Roman" w:cs="Times New Roman"/>
          <w:b/>
          <w:sz w:val="24"/>
          <w:szCs w:val="24"/>
        </w:rPr>
        <w:t xml:space="preserve">Разъяснения по вопросам, направленным </w:t>
      </w:r>
      <w:r w:rsidR="00FF1E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НАПФ</w:t>
      </w:r>
      <w:r w:rsidR="006F43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письмом от 2</w:t>
      </w:r>
      <w:r w:rsidR="006F43D9" w:rsidRPr="006F43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6F43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6F43D9" w:rsidRPr="006F43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="006F43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.2025 № 191</w:t>
      </w:r>
      <w:r w:rsidRPr="00C514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736F73" w:rsidRDefault="00736F73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14661" w:type="dxa"/>
        <w:tblLayout w:type="fixed"/>
        <w:tblLook w:val="04A0" w:firstRow="1" w:lastRow="0" w:firstColumn="1" w:lastColumn="0" w:noHBand="0" w:noVBand="1"/>
      </w:tblPr>
      <w:tblGrid>
        <w:gridCol w:w="560"/>
        <w:gridCol w:w="7940"/>
        <w:gridCol w:w="6161"/>
      </w:tblGrid>
      <w:tr w:rsidR="00736F73" w:rsidRPr="00B64D91" w:rsidTr="009C121F">
        <w:tc>
          <w:tcPr>
            <w:tcW w:w="560" w:type="dxa"/>
            <w:shd w:val="clear" w:color="auto" w:fill="auto"/>
          </w:tcPr>
          <w:p w:rsidR="00736F73" w:rsidRPr="00B64D91" w:rsidRDefault="00736F73" w:rsidP="009C12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4D91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7940" w:type="dxa"/>
            <w:shd w:val="clear" w:color="auto" w:fill="auto"/>
          </w:tcPr>
          <w:p w:rsidR="00736F73" w:rsidRPr="00B64D91" w:rsidRDefault="00736F73" w:rsidP="009C12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4D91">
              <w:rPr>
                <w:rFonts w:ascii="Times New Roman" w:hAnsi="Times New Roman" w:cs="Times New Roman"/>
                <w:b/>
                <w:sz w:val="20"/>
                <w:szCs w:val="20"/>
              </w:rPr>
              <w:t>Вопрос</w:t>
            </w:r>
            <w:r w:rsidR="00615109">
              <w:rPr>
                <w:rFonts w:ascii="Times New Roman" w:hAnsi="Times New Roman" w:cs="Times New Roman"/>
                <w:b/>
                <w:sz w:val="20"/>
                <w:szCs w:val="20"/>
              </w:rPr>
              <w:t>ы (редакция заявителя)</w:t>
            </w:r>
          </w:p>
        </w:tc>
        <w:tc>
          <w:tcPr>
            <w:tcW w:w="6161" w:type="dxa"/>
            <w:shd w:val="clear" w:color="auto" w:fill="auto"/>
          </w:tcPr>
          <w:p w:rsidR="00736F73" w:rsidRPr="00AC0C24" w:rsidRDefault="00517F15" w:rsidP="003A7C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C24">
              <w:rPr>
                <w:rFonts w:ascii="Times New Roman" w:hAnsi="Times New Roman" w:cs="Times New Roman"/>
                <w:b/>
                <w:sz w:val="20"/>
                <w:szCs w:val="20"/>
              </w:rPr>
              <w:t>Разъяснения ДРБУ</w:t>
            </w:r>
          </w:p>
        </w:tc>
      </w:tr>
      <w:tr w:rsidR="00CE0760" w:rsidRPr="00B64D91" w:rsidTr="009C121F">
        <w:tc>
          <w:tcPr>
            <w:tcW w:w="14661" w:type="dxa"/>
            <w:gridSpan w:val="3"/>
            <w:shd w:val="clear" w:color="auto" w:fill="auto"/>
          </w:tcPr>
          <w:p w:rsidR="00CE0760" w:rsidRPr="00AC0C24" w:rsidRDefault="00CE0760" w:rsidP="009C121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0C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Раздел 1. О порядке отражения на счетах бухгалтерского учета операций по договорам ОПС</w:t>
            </w:r>
            <w:r w:rsidR="003176E1" w:rsidRPr="00AC0C24">
              <w:rPr>
                <w:rStyle w:val="a6"/>
                <w:rFonts w:ascii="Times New Roman" w:hAnsi="Times New Roman" w:cs="Times New Roman"/>
                <w:b/>
                <w:bCs/>
                <w:sz w:val="20"/>
                <w:szCs w:val="20"/>
              </w:rPr>
              <w:footnoteReference w:id="1"/>
            </w:r>
            <w:r w:rsidRPr="00AC0C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НПО</w:t>
            </w:r>
            <w:r w:rsidR="003176E1" w:rsidRPr="00AC0C24">
              <w:rPr>
                <w:rStyle w:val="a6"/>
                <w:rFonts w:ascii="Times New Roman" w:hAnsi="Times New Roman" w:cs="Times New Roman"/>
                <w:b/>
                <w:bCs/>
                <w:sz w:val="20"/>
                <w:szCs w:val="20"/>
              </w:rPr>
              <w:footnoteReference w:id="2"/>
            </w:r>
            <w:r w:rsidR="00AC7737" w:rsidRPr="00AC0C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 </w:t>
            </w:r>
            <w:r w:rsidRPr="00AC0C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ДС</w:t>
            </w:r>
            <w:r w:rsidR="003176E1" w:rsidRPr="00AC0C24">
              <w:rPr>
                <w:rStyle w:val="a6"/>
                <w:rFonts w:ascii="Times New Roman" w:hAnsi="Times New Roman" w:cs="Times New Roman"/>
                <w:b/>
                <w:bCs/>
                <w:sz w:val="20"/>
                <w:szCs w:val="20"/>
              </w:rPr>
              <w:footnoteReference w:id="3"/>
            </w:r>
          </w:p>
          <w:p w:rsidR="00613AEB" w:rsidRPr="00AC0C24" w:rsidRDefault="00613AEB" w:rsidP="009C12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36F73" w:rsidRPr="00B64D91" w:rsidTr="009C121F">
        <w:tc>
          <w:tcPr>
            <w:tcW w:w="560" w:type="dxa"/>
            <w:shd w:val="clear" w:color="auto" w:fill="auto"/>
          </w:tcPr>
          <w:p w:rsidR="00736F73" w:rsidRPr="00B64D91" w:rsidRDefault="00A0694F" w:rsidP="009C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052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40" w:type="dxa"/>
            <w:shd w:val="clear" w:color="auto" w:fill="auto"/>
          </w:tcPr>
          <w:p w:rsidR="00DE756D" w:rsidRPr="00A0694F" w:rsidRDefault="00DE756D" w:rsidP="00A0694F">
            <w:pPr>
              <w:pStyle w:val="af4"/>
              <w:spacing w:before="0" w:beforeAutospacing="0" w:after="0" w:afterAutospacing="0"/>
              <w:ind w:firstLine="459"/>
              <w:jc w:val="both"/>
              <w:rPr>
                <w:sz w:val="20"/>
                <w:szCs w:val="20"/>
              </w:rPr>
            </w:pPr>
            <w:r w:rsidRPr="00A0694F">
              <w:rPr>
                <w:sz w:val="20"/>
                <w:szCs w:val="20"/>
              </w:rPr>
              <w:t>Положения Банка России № 773-П</w:t>
            </w:r>
            <w:r w:rsidR="003E158D">
              <w:rPr>
                <w:rStyle w:val="a6"/>
                <w:sz w:val="20"/>
                <w:szCs w:val="20"/>
              </w:rPr>
              <w:footnoteReference w:id="4"/>
            </w:r>
            <w:r w:rsidRPr="00A0694F">
              <w:rPr>
                <w:sz w:val="20"/>
                <w:szCs w:val="20"/>
              </w:rPr>
              <w:t>, № 776-П</w:t>
            </w:r>
            <w:r w:rsidR="003E158D">
              <w:rPr>
                <w:rStyle w:val="a6"/>
                <w:sz w:val="20"/>
                <w:szCs w:val="20"/>
              </w:rPr>
              <w:footnoteReference w:id="5"/>
            </w:r>
            <w:r w:rsidRPr="00A0694F">
              <w:rPr>
                <w:sz w:val="20"/>
                <w:szCs w:val="20"/>
              </w:rPr>
              <w:t>, № 838-П</w:t>
            </w:r>
            <w:r w:rsidR="00E62B41">
              <w:rPr>
                <w:rStyle w:val="a6"/>
                <w:sz w:val="20"/>
                <w:szCs w:val="20"/>
              </w:rPr>
              <w:footnoteReference w:id="6"/>
            </w:r>
            <w:r w:rsidRPr="00A0694F">
              <w:rPr>
                <w:sz w:val="20"/>
                <w:szCs w:val="20"/>
              </w:rPr>
              <w:t xml:space="preserve"> не содержат опцию, предусмотренную пунктом В137 МСФО (IFRS) 17</w:t>
            </w:r>
            <w:r w:rsidR="003E158D">
              <w:rPr>
                <w:rStyle w:val="a6"/>
                <w:sz w:val="20"/>
                <w:szCs w:val="20"/>
              </w:rPr>
              <w:footnoteReference w:id="7"/>
            </w:r>
            <w:r w:rsidRPr="00A0694F">
              <w:rPr>
                <w:sz w:val="20"/>
                <w:szCs w:val="20"/>
              </w:rPr>
              <w:t>. Однако, указанные Положения Банка России не содержат и запрета на её применение. К т</w:t>
            </w:r>
            <w:bookmarkStart w:id="0" w:name="_GoBack"/>
            <w:bookmarkEnd w:id="0"/>
            <w:r w:rsidRPr="00A0694F">
              <w:rPr>
                <w:sz w:val="20"/>
                <w:szCs w:val="20"/>
              </w:rPr>
              <w:t>ому же, согласно п. 11.1 Положения</w:t>
            </w:r>
            <w:r w:rsidR="00A47E05">
              <w:rPr>
                <w:sz w:val="20"/>
                <w:szCs w:val="20"/>
              </w:rPr>
              <w:t xml:space="preserve"> Банка России </w:t>
            </w:r>
            <w:r w:rsidRPr="00A0694F">
              <w:rPr>
                <w:sz w:val="20"/>
                <w:szCs w:val="20"/>
              </w:rPr>
              <w:t>№ 773-П, п. 16.1 Положения</w:t>
            </w:r>
            <w:r w:rsidR="00A47E05">
              <w:rPr>
                <w:sz w:val="20"/>
                <w:szCs w:val="20"/>
              </w:rPr>
              <w:t xml:space="preserve"> Банка России</w:t>
            </w:r>
            <w:r w:rsidRPr="00A0694F">
              <w:rPr>
                <w:sz w:val="20"/>
                <w:szCs w:val="20"/>
              </w:rPr>
              <w:t xml:space="preserve"> № 776-П и п.11.1 Положени</w:t>
            </w:r>
            <w:r w:rsidR="00B507AB">
              <w:rPr>
                <w:sz w:val="20"/>
                <w:szCs w:val="20"/>
              </w:rPr>
              <w:t>я</w:t>
            </w:r>
            <w:r w:rsidRPr="00A0694F">
              <w:rPr>
                <w:sz w:val="20"/>
                <w:szCs w:val="20"/>
              </w:rPr>
              <w:t xml:space="preserve"> </w:t>
            </w:r>
            <w:r w:rsidR="00A47E05">
              <w:rPr>
                <w:sz w:val="20"/>
                <w:szCs w:val="20"/>
              </w:rPr>
              <w:t xml:space="preserve">Банка России </w:t>
            </w:r>
            <w:r w:rsidRPr="00A0694F">
              <w:rPr>
                <w:sz w:val="20"/>
                <w:szCs w:val="20"/>
              </w:rPr>
              <w:t>№ 838-П при применении у</w:t>
            </w:r>
            <w:r w:rsidR="00A47E05">
              <w:rPr>
                <w:sz w:val="20"/>
                <w:szCs w:val="20"/>
              </w:rPr>
              <w:t>казанных П</w:t>
            </w:r>
            <w:r w:rsidR="00A0694F">
              <w:rPr>
                <w:sz w:val="20"/>
                <w:szCs w:val="20"/>
              </w:rPr>
              <w:t xml:space="preserve">оложений Банка России фонды </w:t>
            </w:r>
            <w:r w:rsidRPr="00A0694F">
              <w:rPr>
                <w:sz w:val="20"/>
                <w:szCs w:val="20"/>
              </w:rPr>
              <w:t>руководствуются</w:t>
            </w:r>
            <w:r w:rsidR="00A0694F">
              <w:rPr>
                <w:sz w:val="20"/>
                <w:szCs w:val="20"/>
              </w:rPr>
              <w:t xml:space="preserve"> </w:t>
            </w:r>
            <w:r w:rsidR="00130A9C">
              <w:rPr>
                <w:sz w:val="20"/>
                <w:szCs w:val="20"/>
              </w:rPr>
              <w:t>МСФО</w:t>
            </w:r>
            <w:r w:rsidR="00130A9C">
              <w:rPr>
                <w:rStyle w:val="a6"/>
                <w:sz w:val="20"/>
                <w:szCs w:val="20"/>
              </w:rPr>
              <w:footnoteReference w:id="8"/>
            </w:r>
            <w:r w:rsidR="00130A9C">
              <w:rPr>
                <w:sz w:val="20"/>
                <w:szCs w:val="20"/>
              </w:rPr>
              <w:t xml:space="preserve"> </w:t>
            </w:r>
            <w:r w:rsidRPr="00A0694F">
              <w:rPr>
                <w:sz w:val="20"/>
                <w:szCs w:val="20"/>
              </w:rPr>
              <w:t>и Разъяснениями МСФО, принимаемыми</w:t>
            </w:r>
            <w:r w:rsidR="00EF40EB">
              <w:rPr>
                <w:sz w:val="20"/>
                <w:szCs w:val="20"/>
              </w:rPr>
              <w:t xml:space="preserve"> Фондом </w:t>
            </w:r>
            <w:r w:rsidRPr="00A0694F">
              <w:rPr>
                <w:sz w:val="20"/>
                <w:szCs w:val="20"/>
              </w:rPr>
              <w:t>МСФО,</w:t>
            </w:r>
            <w:r w:rsidR="00EF40EB">
              <w:rPr>
                <w:sz w:val="20"/>
                <w:szCs w:val="20"/>
              </w:rPr>
              <w:t xml:space="preserve"> </w:t>
            </w:r>
            <w:r w:rsidRPr="00A0694F">
              <w:rPr>
                <w:sz w:val="20"/>
                <w:szCs w:val="20"/>
              </w:rPr>
              <w:t>введенными в действие на территории Российской Федерации в соответствии с постановлением Правительства РФ от 25.02.2011 № 107</w:t>
            </w:r>
            <w:r w:rsidR="003718B5">
              <w:rPr>
                <w:rStyle w:val="a6"/>
                <w:sz w:val="20"/>
                <w:szCs w:val="20"/>
              </w:rPr>
              <w:footnoteReference w:id="9"/>
            </w:r>
            <w:r w:rsidRPr="00A0694F">
              <w:rPr>
                <w:sz w:val="20"/>
                <w:szCs w:val="20"/>
              </w:rPr>
              <w:t xml:space="preserve">, а также ч.12 ст. 21 Федерального закона </w:t>
            </w:r>
            <w:r w:rsidR="003E158D">
              <w:rPr>
                <w:sz w:val="20"/>
                <w:szCs w:val="20"/>
              </w:rPr>
              <w:t>№ 402-ФЗ</w:t>
            </w:r>
            <w:r w:rsidR="00A47E05">
              <w:rPr>
                <w:rStyle w:val="a6"/>
                <w:sz w:val="20"/>
                <w:szCs w:val="20"/>
              </w:rPr>
              <w:footnoteReference w:id="10"/>
            </w:r>
            <w:r w:rsidRPr="00A0694F">
              <w:rPr>
                <w:sz w:val="20"/>
                <w:szCs w:val="20"/>
              </w:rPr>
              <w:t>.</w:t>
            </w:r>
          </w:p>
          <w:p w:rsidR="00DE756D" w:rsidRPr="00A0694F" w:rsidRDefault="00DE756D" w:rsidP="00A0694F">
            <w:pPr>
              <w:pStyle w:val="af4"/>
              <w:spacing w:before="0" w:beforeAutospacing="0" w:after="0" w:afterAutospacing="0"/>
              <w:ind w:firstLine="459"/>
              <w:jc w:val="both"/>
              <w:rPr>
                <w:sz w:val="20"/>
                <w:szCs w:val="20"/>
              </w:rPr>
            </w:pPr>
            <w:r w:rsidRPr="00A0694F">
              <w:rPr>
                <w:sz w:val="20"/>
                <w:szCs w:val="20"/>
              </w:rPr>
              <w:t>Просим принять во внимание, что применение варианта учетной политики, не позволяющего изменять порядок учета расчетных оценок, сделанных в предыдущей промежуточной финансовой отчетности, приводит к иным финансовым результатам, чем применение варианта учетной политики, предполагающего такую возможность. Это связано с тем, что величина признания маржи в составе выручки зависит в том числе от изменений в оценках будущих денежных поток</w:t>
            </w:r>
            <w:r w:rsidR="00D712B3">
              <w:rPr>
                <w:sz w:val="20"/>
                <w:szCs w:val="20"/>
              </w:rPr>
              <w:t>ов</w:t>
            </w:r>
            <w:r w:rsidRPr="00A0694F">
              <w:rPr>
                <w:sz w:val="20"/>
                <w:szCs w:val="20"/>
              </w:rPr>
              <w:t xml:space="preserve"> и от времени наступления отчетной даты.</w:t>
            </w:r>
          </w:p>
          <w:p w:rsidR="00DE756D" w:rsidRPr="00A0694F" w:rsidRDefault="00DE756D" w:rsidP="00A0694F">
            <w:pPr>
              <w:pStyle w:val="af4"/>
              <w:spacing w:before="0" w:beforeAutospacing="0" w:after="0" w:afterAutospacing="0"/>
              <w:ind w:firstLine="459"/>
              <w:jc w:val="both"/>
              <w:rPr>
                <w:sz w:val="20"/>
                <w:szCs w:val="20"/>
              </w:rPr>
            </w:pPr>
            <w:r w:rsidRPr="00A0694F">
              <w:rPr>
                <w:sz w:val="20"/>
                <w:szCs w:val="20"/>
              </w:rPr>
              <w:lastRenderedPageBreak/>
              <w:t>При составлении консолидированной отчетности в соответствии с Федеральным законом № 208-ФЗ</w:t>
            </w:r>
            <w:r w:rsidR="00A47E05">
              <w:rPr>
                <w:rStyle w:val="a6"/>
                <w:sz w:val="20"/>
                <w:szCs w:val="20"/>
              </w:rPr>
              <w:footnoteReference w:id="11"/>
            </w:r>
            <w:r w:rsidRPr="00A0694F">
              <w:rPr>
                <w:sz w:val="20"/>
                <w:szCs w:val="20"/>
              </w:rPr>
              <w:t xml:space="preserve"> </w:t>
            </w:r>
            <w:r w:rsidR="00A47E05">
              <w:rPr>
                <w:sz w:val="20"/>
                <w:szCs w:val="20"/>
              </w:rPr>
              <w:t xml:space="preserve">по МСФО фонд применяет пункт </w:t>
            </w:r>
            <w:r w:rsidRPr="00A0694F">
              <w:rPr>
                <w:sz w:val="20"/>
                <w:szCs w:val="20"/>
              </w:rPr>
              <w:t>В137 МСФО (IFRS) 17 и в соответствии с принятой учетной политикой рассчитывает финансовые показатели нарастающим итогом в течени</w:t>
            </w:r>
            <w:r w:rsidR="00B507AB">
              <w:rPr>
                <w:sz w:val="20"/>
                <w:szCs w:val="20"/>
              </w:rPr>
              <w:t>е</w:t>
            </w:r>
            <w:r w:rsidRPr="00A0694F">
              <w:rPr>
                <w:sz w:val="20"/>
                <w:szCs w:val="20"/>
              </w:rPr>
              <w:t xml:space="preserve"> годового отчетного периода.</w:t>
            </w:r>
          </w:p>
          <w:p w:rsidR="00DE756D" w:rsidRPr="00A0694F" w:rsidRDefault="00DE756D" w:rsidP="00A0694F">
            <w:pPr>
              <w:pStyle w:val="af4"/>
              <w:spacing w:before="0" w:beforeAutospacing="0" w:after="0" w:afterAutospacing="0"/>
              <w:ind w:firstLine="459"/>
              <w:jc w:val="both"/>
              <w:rPr>
                <w:sz w:val="20"/>
                <w:szCs w:val="20"/>
              </w:rPr>
            </w:pPr>
            <w:r w:rsidRPr="00A0694F">
              <w:rPr>
                <w:sz w:val="20"/>
                <w:szCs w:val="20"/>
              </w:rPr>
              <w:t>Таким образом, при отсутствии возможности выбора учетной политики в соответствии с</w:t>
            </w:r>
            <w:r w:rsidR="00A47E05">
              <w:rPr>
                <w:sz w:val="20"/>
                <w:szCs w:val="20"/>
              </w:rPr>
              <w:t xml:space="preserve"> пунктом</w:t>
            </w:r>
            <w:r w:rsidRPr="00A0694F">
              <w:rPr>
                <w:sz w:val="20"/>
                <w:szCs w:val="20"/>
              </w:rPr>
              <w:t xml:space="preserve"> B137 МСФО (IFRS) 17 для целей составления отчетности по ОСБУ, оценки финансовых показателей в отчетности ОСБУ и МСФО потенциально могут не совпадать, поскольку расчетные оценки, сделанные с использованием варианта учетной политики</w:t>
            </w:r>
            <w:r w:rsidR="00B507AB">
              <w:rPr>
                <w:sz w:val="20"/>
                <w:szCs w:val="20"/>
              </w:rPr>
              <w:t>,</w:t>
            </w:r>
            <w:r w:rsidRPr="00A0694F">
              <w:rPr>
                <w:sz w:val="20"/>
                <w:szCs w:val="20"/>
              </w:rPr>
              <w:t xml:space="preserve"> не позволяющей изменять порядок учета расчетных оценок, сделанных в предыдущей промежуточной финансовой отчетности, для целей ОСБУ будут отличаться от расчетных оценок, сделанных с использованием варианта учетной политики для целей МСФО.</w:t>
            </w:r>
          </w:p>
          <w:p w:rsidR="00DE756D" w:rsidRPr="00A0694F" w:rsidRDefault="00DE756D" w:rsidP="00A0694F">
            <w:pPr>
              <w:pStyle w:val="af4"/>
              <w:spacing w:before="0" w:beforeAutospacing="0" w:after="0" w:afterAutospacing="0"/>
              <w:ind w:firstLine="459"/>
              <w:jc w:val="both"/>
              <w:rPr>
                <w:sz w:val="20"/>
                <w:szCs w:val="20"/>
              </w:rPr>
            </w:pPr>
            <w:r w:rsidRPr="00A0694F">
              <w:rPr>
                <w:sz w:val="20"/>
                <w:szCs w:val="20"/>
              </w:rPr>
              <w:t>Кроме того, отсутствие возможности выбора учетной политики в отношении порядка расчета финансовых показателей нарастающим итогом в течени</w:t>
            </w:r>
            <w:r w:rsidR="00B507AB">
              <w:rPr>
                <w:sz w:val="20"/>
                <w:szCs w:val="20"/>
              </w:rPr>
              <w:t>е</w:t>
            </w:r>
            <w:r w:rsidRPr="00A0694F">
              <w:rPr>
                <w:sz w:val="20"/>
                <w:szCs w:val="20"/>
              </w:rPr>
              <w:t xml:space="preserve"> годового отчетного периода для целей составления отчетности по ОСБУ приведет к необходимости осуществления дополнительных расчетов, что в свою очередь потребует дополнительных ресурсов и существенно увеличит операционную нагрузку.</w:t>
            </w:r>
          </w:p>
          <w:p w:rsidR="00CE0760" w:rsidRDefault="00DE756D" w:rsidP="00A0694F">
            <w:pPr>
              <w:pStyle w:val="af4"/>
              <w:spacing w:before="0" w:beforeAutospacing="0" w:after="0" w:afterAutospacing="0"/>
              <w:ind w:firstLine="459"/>
              <w:jc w:val="both"/>
              <w:rPr>
                <w:sz w:val="20"/>
                <w:szCs w:val="20"/>
              </w:rPr>
            </w:pPr>
            <w:r w:rsidRPr="00A0694F">
              <w:rPr>
                <w:sz w:val="20"/>
                <w:szCs w:val="20"/>
              </w:rPr>
              <w:t>С учетом вышеизложенного, Фонд просит дать пояснения</w:t>
            </w:r>
            <w:r w:rsidR="00B507AB">
              <w:rPr>
                <w:sz w:val="20"/>
                <w:szCs w:val="20"/>
              </w:rPr>
              <w:t>,</w:t>
            </w:r>
            <w:r w:rsidRPr="00A0694F">
              <w:rPr>
                <w:sz w:val="20"/>
                <w:szCs w:val="20"/>
              </w:rPr>
              <w:t xml:space="preserve"> допустимы ли расхождения финансовых показателей (определяемых в рамках МСФО (IFRS) 17) в отчетности ОСБУ и МСФО в силу того, что при составлении отчетности по ОСБУ и МСФО применяются разные варианты учетной политики в отношении порядка учета расчетных оценок?</w:t>
            </w:r>
          </w:p>
          <w:p w:rsidR="00805198" w:rsidRPr="00B64D91" w:rsidRDefault="00805198" w:rsidP="00A0694F">
            <w:pPr>
              <w:pStyle w:val="af4"/>
              <w:spacing w:before="0" w:beforeAutospacing="0" w:after="0" w:afterAutospacing="0"/>
              <w:ind w:firstLine="459"/>
              <w:jc w:val="both"/>
              <w:rPr>
                <w:sz w:val="20"/>
                <w:szCs w:val="20"/>
              </w:rPr>
            </w:pPr>
          </w:p>
        </w:tc>
        <w:tc>
          <w:tcPr>
            <w:tcW w:w="6161" w:type="dxa"/>
            <w:shd w:val="clear" w:color="auto" w:fill="auto"/>
          </w:tcPr>
          <w:p w:rsidR="00DB6E35" w:rsidRPr="00173ED8" w:rsidRDefault="00EC21DE" w:rsidP="00173ED8">
            <w:pPr>
              <w:ind w:firstLine="60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Фонды</w:t>
            </w:r>
            <w:r w:rsidR="008F72B2" w:rsidRPr="008F7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могут предусмотреть в учетной политике по РСБУ</w:t>
            </w:r>
            <w:r w:rsidR="008F72B2">
              <w:rPr>
                <w:rStyle w:val="a6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12"/>
            </w:r>
            <w:r w:rsidR="008F72B2" w:rsidRPr="008F7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учетной политике по МСФО различные способы оценки</w:t>
            </w:r>
            <w:r w:rsidR="00173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FF1EE6" w:rsidRPr="00B64D91" w:rsidTr="009C121F">
        <w:tc>
          <w:tcPr>
            <w:tcW w:w="560" w:type="dxa"/>
            <w:shd w:val="clear" w:color="auto" w:fill="auto"/>
          </w:tcPr>
          <w:p w:rsidR="00FF1EE6" w:rsidRPr="0046467B" w:rsidRDefault="00A0694F" w:rsidP="009C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6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052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40" w:type="dxa"/>
            <w:shd w:val="clear" w:color="auto" w:fill="auto"/>
          </w:tcPr>
          <w:p w:rsidR="007543BD" w:rsidRPr="00A0694F" w:rsidRDefault="00BE06AA" w:rsidP="00A0694F">
            <w:pPr>
              <w:pStyle w:val="af4"/>
              <w:spacing w:before="0" w:beforeAutospacing="0" w:after="0" w:afterAutospacing="0"/>
              <w:ind w:firstLine="45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соответствии </w:t>
            </w:r>
            <w:r w:rsidR="007543BD" w:rsidRPr="00A0694F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 </w:t>
            </w:r>
            <w:r w:rsidR="007543BD" w:rsidRPr="00A0694F">
              <w:rPr>
                <w:sz w:val="20"/>
                <w:szCs w:val="20"/>
              </w:rPr>
              <w:t>договором</w:t>
            </w:r>
            <w:r>
              <w:rPr>
                <w:sz w:val="20"/>
                <w:szCs w:val="20"/>
              </w:rPr>
              <w:t xml:space="preserve"> </w:t>
            </w:r>
            <w:r w:rsidR="005C6C31">
              <w:rPr>
                <w:sz w:val="20"/>
                <w:szCs w:val="20"/>
              </w:rPr>
              <w:t>НПО</w:t>
            </w:r>
            <w:r w:rsidR="007543BD" w:rsidRPr="00A0694F">
              <w:rPr>
                <w:sz w:val="20"/>
                <w:szCs w:val="20"/>
              </w:rPr>
              <w:t xml:space="preserve"> (далее - пенсионный договор) фонд имеет право на дополнительное вознаграждение от вкладчиков в виде целевых взносов (части сумм пенсионных взносов) на формиро</w:t>
            </w:r>
            <w:r>
              <w:rPr>
                <w:sz w:val="20"/>
                <w:szCs w:val="20"/>
              </w:rPr>
              <w:t xml:space="preserve">вание собственных средств фонда </w:t>
            </w:r>
            <w:r w:rsidR="007543BD" w:rsidRPr="00A0694F">
              <w:rPr>
                <w:sz w:val="20"/>
                <w:szCs w:val="20"/>
              </w:rPr>
              <w:t>и покрытие</w:t>
            </w:r>
            <w:r>
              <w:rPr>
                <w:sz w:val="20"/>
                <w:szCs w:val="20"/>
              </w:rPr>
              <w:t xml:space="preserve"> </w:t>
            </w:r>
            <w:r w:rsidR="007543BD" w:rsidRPr="00A0694F">
              <w:rPr>
                <w:sz w:val="20"/>
                <w:szCs w:val="20"/>
              </w:rPr>
              <w:t>административных расходов. Данные суммы поступают на р</w:t>
            </w:r>
            <w:r>
              <w:rPr>
                <w:sz w:val="20"/>
                <w:szCs w:val="20"/>
              </w:rPr>
              <w:t xml:space="preserve">асчетный счет фонда по уставной </w:t>
            </w:r>
            <w:r w:rsidR="007543BD" w:rsidRPr="00A0694F">
              <w:rPr>
                <w:sz w:val="20"/>
                <w:szCs w:val="20"/>
              </w:rPr>
              <w:t>деятельности</w:t>
            </w:r>
            <w:r w:rsidR="007543BD" w:rsidRPr="00A0694F">
              <w:rPr>
                <w:sz w:val="20"/>
                <w:szCs w:val="20"/>
              </w:rPr>
              <w:tab/>
              <w:t>отдельном платежным поручением в соответствии с условиями пенсионного договора.</w:t>
            </w:r>
          </w:p>
          <w:p w:rsidR="007543BD" w:rsidRPr="00A0694F" w:rsidRDefault="007543BD" w:rsidP="00A0694F">
            <w:pPr>
              <w:pStyle w:val="af4"/>
              <w:spacing w:before="0" w:beforeAutospacing="0" w:after="0" w:afterAutospacing="0"/>
              <w:ind w:firstLine="459"/>
              <w:jc w:val="both"/>
              <w:rPr>
                <w:sz w:val="20"/>
                <w:szCs w:val="20"/>
              </w:rPr>
            </w:pPr>
            <w:r w:rsidRPr="00A0694F">
              <w:rPr>
                <w:sz w:val="20"/>
                <w:szCs w:val="20"/>
              </w:rPr>
              <w:t>Просим пояснить, какими бухгалтерскими записями по виду деятельности «3» (собственные</w:t>
            </w:r>
            <w:r w:rsidRPr="00A0694F">
              <w:rPr>
                <w:sz w:val="20"/>
                <w:szCs w:val="20"/>
              </w:rPr>
              <w:tab/>
              <w:t>средства) отражается</w:t>
            </w:r>
            <w:r w:rsidR="00BE06AA">
              <w:rPr>
                <w:sz w:val="20"/>
                <w:szCs w:val="20"/>
              </w:rPr>
              <w:t xml:space="preserve"> </w:t>
            </w:r>
            <w:r w:rsidRPr="00A0694F">
              <w:rPr>
                <w:sz w:val="20"/>
                <w:szCs w:val="20"/>
              </w:rPr>
              <w:t>поступление в фонд целевых взносов по договорам НПО?</w:t>
            </w:r>
          </w:p>
          <w:p w:rsidR="00FF1EE6" w:rsidRPr="00B64D91" w:rsidRDefault="007543BD" w:rsidP="00A0694F">
            <w:pPr>
              <w:pStyle w:val="af4"/>
              <w:spacing w:before="0" w:beforeAutospacing="0" w:after="0" w:afterAutospacing="0"/>
              <w:ind w:firstLine="459"/>
              <w:jc w:val="both"/>
              <w:rPr>
                <w:sz w:val="20"/>
                <w:szCs w:val="20"/>
              </w:rPr>
            </w:pPr>
            <w:r w:rsidRPr="00A0694F">
              <w:rPr>
                <w:sz w:val="20"/>
                <w:szCs w:val="20"/>
              </w:rPr>
              <w:t>В каком примечании и по какой строке БФО отражаются данные взносы?</w:t>
            </w:r>
          </w:p>
        </w:tc>
        <w:tc>
          <w:tcPr>
            <w:tcW w:w="6161" w:type="dxa"/>
            <w:shd w:val="clear" w:color="auto" w:fill="auto"/>
          </w:tcPr>
          <w:p w:rsidR="001419D2" w:rsidRPr="00B83A83" w:rsidRDefault="00880894" w:rsidP="00880894">
            <w:pPr>
              <w:pStyle w:val="af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80894"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>Ч</w:t>
            </w:r>
            <w:r w:rsidRPr="006C64C8">
              <w:rPr>
                <w:sz w:val="20"/>
                <w:szCs w:val="20"/>
              </w:rPr>
              <w:t>асть суммы </w:t>
            </w:r>
            <w:r>
              <w:rPr>
                <w:sz w:val="20"/>
                <w:szCs w:val="20"/>
              </w:rPr>
              <w:t>пенсионного взноса, поступивш</w:t>
            </w:r>
            <w:r w:rsidR="00CE4E3A">
              <w:rPr>
                <w:sz w:val="20"/>
                <w:szCs w:val="20"/>
              </w:rPr>
              <w:t xml:space="preserve">ей </w:t>
            </w:r>
            <w:r w:rsidRPr="00B83A83">
              <w:rPr>
                <w:sz w:val="20"/>
                <w:szCs w:val="20"/>
              </w:rPr>
              <w:t>на расчетный счет, предназначенный для учета собственных средств</w:t>
            </w:r>
            <w:r>
              <w:rPr>
                <w:sz w:val="20"/>
                <w:szCs w:val="20"/>
              </w:rPr>
              <w:t xml:space="preserve">, направленной на основании договора НПО </w:t>
            </w:r>
            <w:r w:rsidRPr="006C64C8">
              <w:rPr>
                <w:sz w:val="20"/>
                <w:szCs w:val="20"/>
              </w:rPr>
              <w:t>в состав собственных </w:t>
            </w:r>
            <w:r>
              <w:rPr>
                <w:sz w:val="20"/>
                <w:szCs w:val="20"/>
              </w:rPr>
              <w:t xml:space="preserve">средств, фонд </w:t>
            </w:r>
            <w:r w:rsidR="00FE238B">
              <w:rPr>
                <w:sz w:val="20"/>
                <w:szCs w:val="20"/>
              </w:rPr>
              <w:t>учитывает в составе денежного потока в соответствии с пунктом В65</w:t>
            </w:r>
            <w:r w:rsidR="00FE238B" w:rsidRPr="00A0694F">
              <w:rPr>
                <w:sz w:val="20"/>
                <w:szCs w:val="20"/>
              </w:rPr>
              <w:t xml:space="preserve"> </w:t>
            </w:r>
            <w:r w:rsidR="00FE238B">
              <w:rPr>
                <w:sz w:val="20"/>
                <w:szCs w:val="20"/>
              </w:rPr>
              <w:t>МСФО (IFRS) 17</w:t>
            </w:r>
            <w:r w:rsidR="001419D2">
              <w:rPr>
                <w:sz w:val="20"/>
                <w:szCs w:val="20"/>
              </w:rPr>
              <w:t xml:space="preserve"> </w:t>
            </w:r>
            <w:r w:rsidR="00FE238B">
              <w:rPr>
                <w:sz w:val="20"/>
                <w:szCs w:val="20"/>
              </w:rPr>
              <w:t xml:space="preserve">и отражает </w:t>
            </w:r>
            <w:r w:rsidR="001419D2">
              <w:rPr>
                <w:sz w:val="20"/>
                <w:szCs w:val="20"/>
              </w:rPr>
              <w:t>бухгалтерскими записями</w:t>
            </w:r>
            <w:r w:rsidR="001419D2" w:rsidRPr="00B83A83">
              <w:rPr>
                <w:sz w:val="20"/>
                <w:szCs w:val="20"/>
              </w:rPr>
              <w:t xml:space="preserve"> (вид деятельности – 3):</w:t>
            </w:r>
          </w:p>
          <w:p w:rsidR="001419D2" w:rsidRPr="00B83A83" w:rsidRDefault="001419D2" w:rsidP="00F53FB9">
            <w:pPr>
              <w:tabs>
                <w:tab w:val="left" w:pos="3760"/>
                <w:tab w:val="left" w:pos="6312"/>
              </w:tabs>
              <w:ind w:left="34" w:firstLine="39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3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Дебет счета № 20501 «Расчетные счета в кредитных организациях»</w:t>
            </w:r>
          </w:p>
          <w:p w:rsidR="001419D2" w:rsidRPr="00AC0C24" w:rsidRDefault="001419D2" w:rsidP="00F53FB9">
            <w:pPr>
              <w:tabs>
                <w:tab w:val="left" w:pos="3760"/>
                <w:tab w:val="left" w:pos="6312"/>
              </w:tabs>
              <w:ind w:left="34" w:firstLine="39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3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Кредит счета № 48304 «Расчеты по пенсионным взносам по </w:t>
            </w:r>
            <w:r w:rsidRPr="00AC0C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договорам </w:t>
            </w:r>
            <w:r w:rsidR="00A43942" w:rsidRPr="00AC0C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НПО </w:t>
            </w:r>
            <w:r w:rsidRPr="00AC0C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юридическими лицами»;</w:t>
            </w:r>
          </w:p>
          <w:p w:rsidR="001419D2" w:rsidRPr="00AC0C24" w:rsidRDefault="001419D2" w:rsidP="00F53FB9">
            <w:pPr>
              <w:tabs>
                <w:tab w:val="left" w:pos="3760"/>
                <w:tab w:val="left" w:pos="6312"/>
              </w:tabs>
              <w:ind w:left="34" w:firstLine="39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C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Дебет счета № 48304 «Расчеты по пенсионным взносам по договорам </w:t>
            </w:r>
            <w:r w:rsidR="00A43942" w:rsidRPr="00AC0C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НПО </w:t>
            </w:r>
            <w:r w:rsidRPr="00AC0C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юридическими лицами»</w:t>
            </w:r>
          </w:p>
          <w:p w:rsidR="001419D2" w:rsidRPr="00B83A83" w:rsidRDefault="001419D2" w:rsidP="00F53FB9">
            <w:pPr>
              <w:tabs>
                <w:tab w:val="left" w:pos="3760"/>
                <w:tab w:val="left" w:pos="6312"/>
              </w:tabs>
              <w:ind w:left="34" w:firstLine="39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C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Кредит счетов учета корректировки РППО</w:t>
            </w:r>
            <w:r w:rsidR="00A43942" w:rsidRPr="00AC0C24">
              <w:rPr>
                <w:rStyle w:val="a6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13"/>
            </w:r>
            <w:r w:rsidRPr="00AC0C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договорам НПО (ООЧП</w:t>
            </w:r>
            <w:r w:rsidR="00A43942" w:rsidRPr="00AC0C24">
              <w:rPr>
                <w:rStyle w:val="a6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14"/>
            </w:r>
            <w:r w:rsidRPr="00AC0C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</w:t>
            </w:r>
          </w:p>
          <w:p w:rsidR="00CE4E3A" w:rsidRDefault="00CE4E3A" w:rsidP="00A65990">
            <w:pPr>
              <w:ind w:firstLine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4E3A" w:rsidRDefault="00CE4E3A" w:rsidP="00A65990">
            <w:pPr>
              <w:ind w:firstLine="318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B97E43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В бухгалтерской (финансовой) отчетности фонда указанные денежные потоки отражаются в составе показателя 35 «Обязательства по портфелям договоров негосударственного пенсионного обеспечения и договоров долгосрочных сбережений, учитываемых на счетах бухгалтерского учета в соответствии с требованиями МСФО (IFRS) 17» бухгалтерского баланса негосударственного пенсионного фонда</w:t>
            </w:r>
            <w:r w:rsidRPr="00B97E43">
              <w:rPr>
                <w:rStyle w:val="a6"/>
                <w:rFonts w:ascii="Times New Roman" w:hAnsi="Times New Roman" w:cs="Times New Roman"/>
                <w:sz w:val="20"/>
                <w:szCs w:val="20"/>
                <w:highlight w:val="yellow"/>
              </w:rPr>
              <w:footnoteReference w:id="15"/>
            </w:r>
            <w:r w:rsidRPr="00B97E43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и раскрываются в примечании 12 «Портфели договоров об обязательном пенсионном страховании, негосударственного пенсионного обеспечения и долгосрочных сбережений, учитываемых на счетах бухгалтерского учета</w:t>
            </w:r>
            <w:r w:rsidRPr="00D91E10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требованиями МСФО (IFRS)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17» приложения 5 к Положению № </w:t>
            </w:r>
            <w:r w:rsidRPr="00D91E10">
              <w:rPr>
                <w:rFonts w:ascii="Times New Roman" w:hAnsi="Times New Roman" w:cs="Times New Roman"/>
                <w:sz w:val="20"/>
                <w:szCs w:val="20"/>
              </w:rPr>
              <w:t>727-П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F504F" w:rsidRPr="003C42E7" w:rsidRDefault="00B97E43" w:rsidP="00B97E43">
            <w:pPr>
              <w:tabs>
                <w:tab w:val="left" w:pos="3760"/>
                <w:tab w:val="left" w:pos="6312"/>
              </w:tabs>
              <w:ind w:left="108" w:firstLine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7E4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Целевые взносы отражаем в составе обязательств!</w:t>
            </w:r>
          </w:p>
        </w:tc>
      </w:tr>
      <w:tr w:rsidR="00FF1EE6" w:rsidRPr="00B64D91" w:rsidTr="009C121F">
        <w:tc>
          <w:tcPr>
            <w:tcW w:w="560" w:type="dxa"/>
            <w:shd w:val="clear" w:color="auto" w:fill="auto"/>
          </w:tcPr>
          <w:p w:rsidR="00FF1EE6" w:rsidRPr="0046467B" w:rsidRDefault="003E506A" w:rsidP="009C12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646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3</w:t>
            </w:r>
          </w:p>
        </w:tc>
        <w:tc>
          <w:tcPr>
            <w:tcW w:w="7940" w:type="dxa"/>
            <w:shd w:val="clear" w:color="auto" w:fill="auto"/>
          </w:tcPr>
          <w:p w:rsidR="00FF1EE6" w:rsidRDefault="00740F1A" w:rsidP="00A0694F">
            <w:pPr>
              <w:pStyle w:val="af4"/>
              <w:spacing w:before="0" w:beforeAutospacing="0" w:after="0" w:afterAutospacing="0"/>
              <w:ind w:firstLine="459"/>
              <w:jc w:val="both"/>
              <w:rPr>
                <w:sz w:val="20"/>
                <w:szCs w:val="20"/>
              </w:rPr>
            </w:pPr>
            <w:r w:rsidRPr="00A0694F">
              <w:rPr>
                <w:sz w:val="20"/>
                <w:szCs w:val="20"/>
              </w:rPr>
              <w:t>Просим пояснить, какой счет учета и символ ОФР</w:t>
            </w:r>
            <w:r w:rsidR="005C6C31">
              <w:rPr>
                <w:rStyle w:val="a6"/>
                <w:sz w:val="20"/>
                <w:szCs w:val="20"/>
              </w:rPr>
              <w:footnoteReference w:id="16"/>
            </w:r>
            <w:r w:rsidRPr="00A0694F">
              <w:rPr>
                <w:sz w:val="20"/>
                <w:szCs w:val="20"/>
              </w:rPr>
              <w:t xml:space="preserve"> применяется при отнесении АДП</w:t>
            </w:r>
            <w:r w:rsidR="005C6C31" w:rsidRPr="00AC0C24">
              <w:rPr>
                <w:rStyle w:val="a6"/>
                <w:sz w:val="20"/>
                <w:szCs w:val="20"/>
              </w:rPr>
              <w:footnoteReference w:id="17"/>
            </w:r>
            <w:r w:rsidRPr="00A0694F">
              <w:rPr>
                <w:sz w:val="20"/>
                <w:szCs w:val="20"/>
              </w:rPr>
              <w:t xml:space="preserve"> на расходы в случае, если фонд закрепил в Учетной политике отражение АДП в качестве расходов на дату возникновения затрат, руковод</w:t>
            </w:r>
            <w:r w:rsidR="00316C41">
              <w:rPr>
                <w:sz w:val="20"/>
                <w:szCs w:val="20"/>
              </w:rPr>
              <w:t xml:space="preserve">ствуясь пунктом 7.4 </w:t>
            </w:r>
            <w:r w:rsidR="00316C41" w:rsidRPr="00F05268">
              <w:rPr>
                <w:sz w:val="20"/>
                <w:szCs w:val="20"/>
              </w:rPr>
              <w:t>ПБУ 1/2008</w:t>
            </w:r>
            <w:r w:rsidR="00316C41" w:rsidRPr="00F05268">
              <w:rPr>
                <w:sz w:val="20"/>
                <w:szCs w:val="20"/>
                <w:vertAlign w:val="superscript"/>
              </w:rPr>
              <w:footnoteReference w:id="18"/>
            </w:r>
            <w:r w:rsidRPr="00F05268">
              <w:rPr>
                <w:sz w:val="20"/>
                <w:szCs w:val="20"/>
              </w:rPr>
              <w:t>?</w:t>
            </w:r>
          </w:p>
          <w:p w:rsidR="00C85C03" w:rsidRDefault="00C85C03" w:rsidP="00A0694F">
            <w:pPr>
              <w:pStyle w:val="af4"/>
              <w:spacing w:before="0" w:beforeAutospacing="0" w:after="0" w:afterAutospacing="0"/>
              <w:ind w:firstLine="459"/>
              <w:jc w:val="both"/>
              <w:rPr>
                <w:sz w:val="20"/>
                <w:szCs w:val="20"/>
              </w:rPr>
            </w:pPr>
          </w:p>
          <w:p w:rsidR="00C85C03" w:rsidRPr="00A0694F" w:rsidRDefault="00C85C03" w:rsidP="00AA4688">
            <w:pPr>
              <w:autoSpaceDE w:val="0"/>
              <w:autoSpaceDN w:val="0"/>
              <w:adjustRightInd w:val="0"/>
              <w:ind w:firstLine="459"/>
              <w:jc w:val="both"/>
              <w:rPr>
                <w:sz w:val="20"/>
                <w:szCs w:val="20"/>
              </w:rPr>
            </w:pPr>
          </w:p>
        </w:tc>
        <w:tc>
          <w:tcPr>
            <w:tcW w:w="6161" w:type="dxa"/>
            <w:shd w:val="clear" w:color="auto" w:fill="auto"/>
          </w:tcPr>
          <w:p w:rsidR="003C0763" w:rsidRPr="003C0763" w:rsidRDefault="00A83A0C" w:rsidP="003C0763">
            <w:pPr>
              <w:ind w:firstLine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763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615109">
              <w:rPr>
                <w:rFonts w:ascii="Times New Roman" w:hAnsi="Times New Roman" w:cs="Times New Roman"/>
                <w:sz w:val="20"/>
                <w:szCs w:val="20"/>
              </w:rPr>
              <w:t xml:space="preserve"> В случае</w:t>
            </w:r>
            <w:r w:rsidR="00B97E43"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="00615109">
              <w:rPr>
                <w:rFonts w:ascii="Times New Roman" w:hAnsi="Times New Roman" w:cs="Times New Roman"/>
                <w:sz w:val="20"/>
                <w:szCs w:val="20"/>
              </w:rPr>
              <w:t xml:space="preserve"> если фонд утвердил в у</w:t>
            </w:r>
            <w:r w:rsidRPr="003C0763">
              <w:rPr>
                <w:rFonts w:ascii="Times New Roman" w:hAnsi="Times New Roman" w:cs="Times New Roman"/>
                <w:sz w:val="20"/>
                <w:szCs w:val="20"/>
              </w:rPr>
              <w:t xml:space="preserve">четной политике решение об отражении АДП единовременно в качестве расходов, руководствуясь пунктом 7.4 ПБУ 1/2008, то фонд отражает </w:t>
            </w:r>
            <w:r w:rsidR="003C0763" w:rsidRPr="003C0763">
              <w:rPr>
                <w:rFonts w:ascii="Times New Roman" w:hAnsi="Times New Roman" w:cs="Times New Roman"/>
                <w:sz w:val="20"/>
                <w:szCs w:val="20"/>
              </w:rPr>
              <w:t>их на следующих счетах бухгалтерского учета:</w:t>
            </w:r>
          </w:p>
          <w:p w:rsidR="003C0763" w:rsidRPr="003C0763" w:rsidRDefault="003C0763" w:rsidP="003C0763">
            <w:pPr>
              <w:ind w:firstLine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763">
              <w:rPr>
                <w:rFonts w:ascii="Times New Roman" w:hAnsi="Times New Roman" w:cs="Times New Roman"/>
                <w:sz w:val="20"/>
                <w:szCs w:val="20"/>
              </w:rPr>
              <w:t xml:space="preserve">       № 71310 «Расходы по страхованию по договорам НПО» по символу ОФР 21109 «прочие расходы по страхованию»;</w:t>
            </w:r>
          </w:p>
          <w:p w:rsidR="003C0763" w:rsidRPr="003C0763" w:rsidRDefault="003C0763" w:rsidP="003C0763">
            <w:pPr>
              <w:ind w:firstLine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3C0763">
              <w:rPr>
                <w:rFonts w:ascii="Times New Roman" w:hAnsi="Times New Roman" w:cs="Times New Roman"/>
                <w:sz w:val="20"/>
                <w:szCs w:val="20"/>
              </w:rPr>
              <w:t>№ 71318 «Расходы по страхованию по договорам ОПС» по символу ОФР 22109 «прочие расходы по страхованию»;</w:t>
            </w:r>
          </w:p>
          <w:p w:rsidR="003C0763" w:rsidRDefault="003C0763" w:rsidP="003C0763">
            <w:pPr>
              <w:ind w:firstLine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3C0763">
              <w:rPr>
                <w:rFonts w:ascii="Times New Roman" w:hAnsi="Times New Roman" w:cs="Times New Roman"/>
                <w:sz w:val="20"/>
                <w:szCs w:val="20"/>
              </w:rPr>
              <w:t>№ 71326 «Расходы по страхованию по договорам ДС» по символу ОФР 24109 «прочие расходы по страхованию».</w:t>
            </w:r>
          </w:p>
          <w:p w:rsidR="00B97E43" w:rsidRPr="00B97E43" w:rsidRDefault="00B97E43" w:rsidP="003C0763">
            <w:pPr>
              <w:ind w:firstLine="318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97E4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Несущественные </w:t>
            </w:r>
            <w:proofErr w:type="spellStart"/>
            <w:r w:rsidRPr="00B97E4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аквизиционные</w:t>
            </w:r>
            <w:proofErr w:type="spellEnd"/>
            <w:r w:rsidRPr="00B97E4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расходы можно единовременно списывать на расходы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, критерий установить в УП</w:t>
            </w:r>
          </w:p>
          <w:p w:rsidR="00A83A0C" w:rsidRPr="00B64D91" w:rsidRDefault="00A83A0C" w:rsidP="00A83A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1EE6" w:rsidRPr="00B64D91" w:rsidTr="00B84A89">
        <w:tc>
          <w:tcPr>
            <w:tcW w:w="560" w:type="dxa"/>
            <w:shd w:val="clear" w:color="auto" w:fill="auto"/>
          </w:tcPr>
          <w:p w:rsidR="00FF1EE6" w:rsidRPr="008C1D46" w:rsidRDefault="003E506A" w:rsidP="009C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D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="00AA3FF0" w:rsidRPr="008C1D4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40" w:type="dxa"/>
            <w:shd w:val="clear" w:color="auto" w:fill="auto"/>
          </w:tcPr>
          <w:p w:rsidR="00A0694F" w:rsidRPr="008C1D46" w:rsidRDefault="00A0694F" w:rsidP="00A0694F">
            <w:pPr>
              <w:pStyle w:val="af4"/>
              <w:spacing w:before="0" w:beforeAutospacing="0" w:after="0" w:afterAutospacing="0"/>
              <w:ind w:firstLine="459"/>
              <w:jc w:val="both"/>
              <w:rPr>
                <w:sz w:val="20"/>
                <w:szCs w:val="20"/>
              </w:rPr>
            </w:pPr>
            <w:r w:rsidRPr="008C1D46">
              <w:rPr>
                <w:sz w:val="20"/>
                <w:szCs w:val="20"/>
              </w:rPr>
              <w:t xml:space="preserve">В соответствии с подпунктом 4.2 пункта 4 статьи 36.2 Федерального закона </w:t>
            </w:r>
            <w:r w:rsidR="005C6C31">
              <w:rPr>
                <w:sz w:val="20"/>
                <w:szCs w:val="20"/>
              </w:rPr>
              <w:br/>
            </w:r>
            <w:r w:rsidRPr="008C1D46">
              <w:rPr>
                <w:sz w:val="20"/>
                <w:szCs w:val="20"/>
              </w:rPr>
              <w:t>№ 75-ФЗ</w:t>
            </w:r>
            <w:r w:rsidR="005C6C31" w:rsidRPr="00AC0C24">
              <w:rPr>
                <w:rStyle w:val="a6"/>
                <w:sz w:val="20"/>
                <w:szCs w:val="20"/>
              </w:rPr>
              <w:footnoteReference w:id="19"/>
            </w:r>
            <w:r w:rsidRPr="008C1D46">
              <w:rPr>
                <w:sz w:val="20"/>
                <w:szCs w:val="20"/>
              </w:rPr>
              <w:t xml:space="preserve"> фонд, осуществляющий деятельность по </w:t>
            </w:r>
            <w:r w:rsidR="005C6C31">
              <w:rPr>
                <w:sz w:val="20"/>
                <w:szCs w:val="20"/>
              </w:rPr>
              <w:t>ОПС</w:t>
            </w:r>
            <w:r w:rsidRPr="008C1D46">
              <w:rPr>
                <w:sz w:val="20"/>
                <w:szCs w:val="20"/>
              </w:rPr>
              <w:t>, обязан до направления предыдущему страховщику в соответствии с пунктом 5.3 статьи 36.6 Федерального закона № 75-ФЗ средств ПН</w:t>
            </w:r>
            <w:r w:rsidR="005C6C31">
              <w:rPr>
                <w:rStyle w:val="a6"/>
                <w:sz w:val="20"/>
                <w:szCs w:val="20"/>
              </w:rPr>
              <w:footnoteReference w:id="20"/>
            </w:r>
            <w:r w:rsidRPr="008C1D46">
              <w:rPr>
                <w:sz w:val="20"/>
                <w:szCs w:val="20"/>
              </w:rPr>
              <w:t xml:space="preserve"> отдельно отражать на пенсионных счетах накопительной пенсии в качестве результата инвестирования средств ПН проценты за неправомерное пользование средствами ПН и средства, направленные на формирование СС</w:t>
            </w:r>
            <w:r w:rsidR="005C6C31">
              <w:rPr>
                <w:rStyle w:val="a6"/>
                <w:sz w:val="20"/>
                <w:szCs w:val="20"/>
              </w:rPr>
              <w:footnoteReference w:id="21"/>
            </w:r>
            <w:r w:rsidRPr="008C1D46">
              <w:rPr>
                <w:sz w:val="20"/>
                <w:szCs w:val="20"/>
              </w:rPr>
              <w:t xml:space="preserve"> фонда.</w:t>
            </w:r>
          </w:p>
          <w:p w:rsidR="00A0694F" w:rsidRPr="008C1D46" w:rsidRDefault="00A0694F" w:rsidP="00A0694F">
            <w:pPr>
              <w:pStyle w:val="af4"/>
              <w:spacing w:before="0" w:beforeAutospacing="0" w:after="0" w:afterAutospacing="0"/>
              <w:ind w:firstLine="459"/>
              <w:jc w:val="both"/>
              <w:rPr>
                <w:sz w:val="20"/>
                <w:szCs w:val="20"/>
              </w:rPr>
            </w:pPr>
            <w:r w:rsidRPr="008C1D46">
              <w:rPr>
                <w:sz w:val="20"/>
                <w:szCs w:val="20"/>
              </w:rPr>
              <w:lastRenderedPageBreak/>
              <w:t>Просим пояснить, какими бухгалтерскими записями фонд должен отражать:</w:t>
            </w:r>
          </w:p>
          <w:p w:rsidR="00A0694F" w:rsidRPr="008C1D46" w:rsidRDefault="00A0694F" w:rsidP="00A0694F">
            <w:pPr>
              <w:pStyle w:val="af4"/>
              <w:spacing w:before="0" w:beforeAutospacing="0" w:after="0" w:afterAutospacing="0"/>
              <w:ind w:firstLine="459"/>
              <w:jc w:val="both"/>
              <w:rPr>
                <w:sz w:val="20"/>
                <w:szCs w:val="20"/>
              </w:rPr>
            </w:pPr>
            <w:r w:rsidRPr="008C1D46">
              <w:rPr>
                <w:sz w:val="20"/>
                <w:szCs w:val="20"/>
              </w:rPr>
              <w:t>1. Формирование средств ПН за счет процентов за неправомерное пользование средствами ПН;</w:t>
            </w:r>
          </w:p>
          <w:p w:rsidR="00A0694F" w:rsidRPr="008C1D46" w:rsidRDefault="00A0694F" w:rsidP="00A0694F">
            <w:pPr>
              <w:pStyle w:val="af4"/>
              <w:spacing w:before="0" w:beforeAutospacing="0" w:after="0" w:afterAutospacing="0"/>
              <w:ind w:firstLine="459"/>
              <w:jc w:val="both"/>
              <w:rPr>
                <w:sz w:val="20"/>
                <w:szCs w:val="20"/>
              </w:rPr>
            </w:pPr>
            <w:r w:rsidRPr="008C1D46">
              <w:rPr>
                <w:sz w:val="20"/>
                <w:szCs w:val="20"/>
              </w:rPr>
              <w:t>2. Формирование средств ПН за счет средств, направленных в СС фонда (за счет дохода от инвестирования средств ПН соответствующего застрахованного лица)?</w:t>
            </w:r>
          </w:p>
          <w:p w:rsidR="00A0694F" w:rsidRPr="008C1D46" w:rsidRDefault="00A0694F" w:rsidP="00A0694F">
            <w:pPr>
              <w:pStyle w:val="af4"/>
              <w:spacing w:before="0" w:beforeAutospacing="0" w:after="0" w:afterAutospacing="0"/>
              <w:ind w:firstLine="459"/>
              <w:jc w:val="both"/>
              <w:rPr>
                <w:sz w:val="20"/>
                <w:szCs w:val="20"/>
              </w:rPr>
            </w:pPr>
            <w:r w:rsidRPr="008C1D46">
              <w:rPr>
                <w:sz w:val="20"/>
                <w:szCs w:val="20"/>
              </w:rPr>
              <w:t>Ранее, при применении фондами Положения 502-П и 486-П в соответствии с МСФО (IFRS) 4, Банк России давал рекомендации относительно данной ситуации в Письме № 46-2/2118 от 31.10.2022г. в ответ на запрос НАПФ № 190 от 03.10.2022.</w:t>
            </w:r>
          </w:p>
          <w:p w:rsidR="00FF1EE6" w:rsidRPr="008C1D46" w:rsidRDefault="00A0694F" w:rsidP="00A0694F">
            <w:pPr>
              <w:pStyle w:val="af4"/>
              <w:spacing w:before="0" w:beforeAutospacing="0" w:after="0" w:afterAutospacing="0"/>
              <w:ind w:firstLine="459"/>
              <w:jc w:val="both"/>
              <w:rPr>
                <w:sz w:val="20"/>
                <w:szCs w:val="20"/>
              </w:rPr>
            </w:pPr>
            <w:r w:rsidRPr="008C1D46">
              <w:rPr>
                <w:sz w:val="20"/>
                <w:szCs w:val="20"/>
              </w:rPr>
              <w:t>Просим обновить данные рекомендации с учетом применения фондами Положений ЦБ c 01.01.2025г. в соответствии с МСФО (IFRS) 17.</w:t>
            </w:r>
          </w:p>
        </w:tc>
        <w:tc>
          <w:tcPr>
            <w:tcW w:w="6161" w:type="dxa"/>
            <w:shd w:val="clear" w:color="auto" w:fill="auto"/>
          </w:tcPr>
          <w:p w:rsidR="00843D21" w:rsidRDefault="00843D21" w:rsidP="00843D21">
            <w:pPr>
              <w:tabs>
                <w:tab w:val="left" w:pos="3760"/>
                <w:tab w:val="left" w:pos="6312"/>
              </w:tabs>
              <w:ind w:firstLine="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D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 </w:t>
            </w:r>
            <w:r w:rsidRPr="00AC0C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соответствии с подпунктом 4.2 пункта 4 статьи 36.2 Федерального закона № 75-ФЗ фонд обязан до направления предыдущему страховщику в соответствии с</w:t>
            </w:r>
            <w:r w:rsidRPr="008C1D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пунктом 5.3 статьи 36.6 Федерального закона № 75-ФЗ средств пенсионных накоплений отдельно отражать на пенсионных счетах накопительной пенсии в качестве результата инвестирования средств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пенсионных накоплений</w:t>
            </w:r>
            <w:r w:rsidRPr="008C1D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C1D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проценты за неправо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мерное пользование средствами пенсионных накоплений</w:t>
            </w:r>
            <w:r w:rsidRPr="008C1D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4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средства, направленные на формирование собственных средств фонда</w:t>
            </w:r>
            <w:r w:rsidR="00941070" w:rsidRPr="0094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</w:t>
            </w:r>
            <w:r w:rsidR="00B205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формированные</w:t>
            </w:r>
            <w:r w:rsidR="00941070" w:rsidRPr="0094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счет дохода от инвестирования средств пенсионных накоплений</w:t>
            </w:r>
            <w:r w:rsidRPr="0094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843D21" w:rsidRDefault="00843D21" w:rsidP="00843D21">
            <w:pPr>
              <w:tabs>
                <w:tab w:val="left" w:pos="3760"/>
                <w:tab w:val="left" w:pos="6312"/>
              </w:tabs>
              <w:ind w:firstLine="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D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Формирование средств пенсионных накоплений за счет процентов за неправомерное пользование средствами пенсионных накоплений фонд отражает бухгалтерскими записями:</w:t>
            </w:r>
          </w:p>
          <w:p w:rsidR="00843D21" w:rsidRPr="00BB35D9" w:rsidRDefault="00843D21" w:rsidP="00843D21">
            <w:pPr>
              <w:tabs>
                <w:tab w:val="left" w:pos="3760"/>
                <w:tab w:val="left" w:pos="6312"/>
              </w:tabs>
              <w:ind w:firstLine="42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B35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(вид деятельности – 3): </w:t>
            </w:r>
          </w:p>
          <w:p w:rsidR="00843D21" w:rsidRDefault="00843D21" w:rsidP="00843D21">
            <w:pPr>
              <w:tabs>
                <w:tab w:val="left" w:pos="3760"/>
                <w:tab w:val="left" w:pos="6312"/>
              </w:tabs>
              <w:ind w:firstLine="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2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Дебет счета № 71101 «Процентные расходы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по символу 44104 «п</w:t>
            </w:r>
            <w:r w:rsidRPr="008712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роцентные расходы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п</w:t>
            </w:r>
            <w:r w:rsidRPr="008712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привлеченным средствам государственных внебюджетных фондов Российской Федерации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 по символу 44112 «п</w:t>
            </w:r>
            <w:r w:rsidRPr="008712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роцентные расходы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>
              <w:t xml:space="preserve"> </w:t>
            </w:r>
            <w:r w:rsidRPr="008712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привлеченным средствам негосударственных финансовых организаций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843D21" w:rsidRDefault="00843D21" w:rsidP="00843D21">
            <w:pPr>
              <w:tabs>
                <w:tab w:val="left" w:pos="3760"/>
                <w:tab w:val="left" w:pos="6312"/>
              </w:tabs>
              <w:ind w:firstLine="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Кредит счета № 30305 «Внутрихозяйственные</w:t>
            </w:r>
            <w:r w:rsidRPr="008C1D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расчеты»;</w:t>
            </w:r>
          </w:p>
          <w:p w:rsidR="00843D21" w:rsidRDefault="00843D21" w:rsidP="00843D21">
            <w:pPr>
              <w:tabs>
                <w:tab w:val="left" w:pos="3760"/>
                <w:tab w:val="left" w:pos="6312"/>
              </w:tabs>
              <w:ind w:firstLine="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2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Дебет счета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12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3030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«Внутрихозяйственные расчеты»</w:t>
            </w:r>
          </w:p>
          <w:p w:rsidR="00843D21" w:rsidRDefault="00843D21" w:rsidP="00843D21">
            <w:pPr>
              <w:tabs>
                <w:tab w:val="left" w:pos="3760"/>
                <w:tab w:val="left" w:pos="6312"/>
              </w:tabs>
              <w:ind w:firstLine="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2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Кредит счета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20501</w:t>
            </w:r>
            <w:r>
              <w:t xml:space="preserve"> «</w:t>
            </w:r>
            <w:r w:rsidRPr="008712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Расчетные счета в кредитных организациях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CF5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843D21" w:rsidRPr="00BB35D9" w:rsidRDefault="00843D21" w:rsidP="00843D21">
            <w:pPr>
              <w:tabs>
                <w:tab w:val="left" w:pos="3760"/>
                <w:tab w:val="left" w:pos="6312"/>
              </w:tabs>
              <w:ind w:firstLine="42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B35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(вид деятельности – 1):</w:t>
            </w:r>
          </w:p>
          <w:p w:rsidR="00843D21" w:rsidRDefault="00843D21" w:rsidP="00843D21">
            <w:pPr>
              <w:tabs>
                <w:tab w:val="left" w:pos="3760"/>
                <w:tab w:val="left" w:pos="6312"/>
              </w:tabs>
              <w:ind w:firstLine="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2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Дебет счета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12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20501 «Расчетные счета в кредитных организациях»</w:t>
            </w:r>
          </w:p>
          <w:p w:rsidR="00843D21" w:rsidRDefault="00843D21" w:rsidP="00843D21">
            <w:pPr>
              <w:tabs>
                <w:tab w:val="left" w:pos="3760"/>
                <w:tab w:val="left" w:pos="6312"/>
              </w:tabs>
              <w:ind w:firstLine="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2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Кредит счета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B35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30306 «Внутрихозяйственные расчеты»</w:t>
            </w:r>
            <w:r w:rsidR="00CF5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843D21" w:rsidRDefault="00843D21" w:rsidP="00843D21">
            <w:pPr>
              <w:tabs>
                <w:tab w:val="left" w:pos="3760"/>
                <w:tab w:val="left" w:pos="6312"/>
              </w:tabs>
              <w:ind w:firstLine="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D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Дебет счета № 30306 «Внутрихозяйственные расчеты»</w:t>
            </w:r>
          </w:p>
          <w:p w:rsidR="00843D21" w:rsidRDefault="00843D21" w:rsidP="00843D21">
            <w:pPr>
              <w:tabs>
                <w:tab w:val="left" w:pos="3760"/>
                <w:tab w:val="left" w:pos="6312"/>
              </w:tabs>
              <w:ind w:firstLine="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Кредит счета пенсионных накоплений на этапе накопления по договорам ОПС (ООЧП)</w:t>
            </w:r>
            <w:r w:rsidR="00CF5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843D21" w:rsidRPr="00803D55" w:rsidRDefault="00843D21" w:rsidP="00843D21">
            <w:pPr>
              <w:tabs>
                <w:tab w:val="left" w:pos="3760"/>
                <w:tab w:val="left" w:pos="6312"/>
              </w:tabs>
              <w:ind w:firstLine="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Формирование средств пенсионных накоплений за счет средств, направленных в состав собственных средств фонда</w:t>
            </w:r>
            <w:r w:rsidR="008D4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сформированных </w:t>
            </w:r>
            <w:r w:rsidRPr="00803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 счет дохода от инвестирования средств пенсионных </w:t>
            </w:r>
            <w:r w:rsidR="008D4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накоплений,</w:t>
            </w:r>
            <w:r w:rsidRPr="00803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фонд отражает бухгалтерскими записями: </w:t>
            </w:r>
          </w:p>
          <w:p w:rsidR="00843D21" w:rsidRPr="00BB35D9" w:rsidRDefault="00843D21" w:rsidP="00843D21">
            <w:pPr>
              <w:tabs>
                <w:tab w:val="left" w:pos="3760"/>
                <w:tab w:val="left" w:pos="6312"/>
              </w:tabs>
              <w:ind w:firstLine="42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B35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(вид деятельности – 3):</w:t>
            </w:r>
          </w:p>
          <w:p w:rsidR="00843D21" w:rsidRPr="00803D55" w:rsidRDefault="00843D21" w:rsidP="00843D21">
            <w:pPr>
              <w:tabs>
                <w:tab w:val="left" w:pos="3760"/>
                <w:tab w:val="left" w:pos="6312"/>
              </w:tabs>
              <w:ind w:firstLine="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Дебет счета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 w:rsidRPr="00BB35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71324 «Прочие расходы по деятельности по договорам ОПС» по символу ОФР 22401 «прочие расходы»</w:t>
            </w:r>
          </w:p>
          <w:p w:rsidR="00843D21" w:rsidRDefault="00843D21" w:rsidP="00843D21">
            <w:pPr>
              <w:tabs>
                <w:tab w:val="left" w:pos="3760"/>
                <w:tab w:val="left" w:pos="6312"/>
              </w:tabs>
              <w:ind w:firstLine="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Кредит счета № 30305 «Внутрихозяйственные расчеты»;</w:t>
            </w:r>
          </w:p>
          <w:p w:rsidR="00843D21" w:rsidRPr="00BB35D9" w:rsidRDefault="00843D21" w:rsidP="00843D21">
            <w:pPr>
              <w:tabs>
                <w:tab w:val="left" w:pos="3760"/>
                <w:tab w:val="left" w:pos="6312"/>
              </w:tabs>
              <w:ind w:firstLine="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5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Дебет счета № 30305 «Внутрихозяйственные расчеты»</w:t>
            </w:r>
          </w:p>
          <w:p w:rsidR="00843D21" w:rsidRDefault="00843D21" w:rsidP="00843D21">
            <w:pPr>
              <w:tabs>
                <w:tab w:val="left" w:pos="3760"/>
                <w:tab w:val="left" w:pos="6312"/>
              </w:tabs>
              <w:ind w:firstLine="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5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Кредит счета № 20501 «Расчетные счета в кредитных организациях»</w:t>
            </w:r>
            <w:r w:rsidR="00DA16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843D21" w:rsidRPr="00BB35D9" w:rsidRDefault="00843D21" w:rsidP="00843D21">
            <w:pPr>
              <w:tabs>
                <w:tab w:val="left" w:pos="3760"/>
                <w:tab w:val="left" w:pos="6312"/>
              </w:tabs>
              <w:ind w:firstLine="42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B35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(вид деятельности – 1):</w:t>
            </w:r>
          </w:p>
          <w:p w:rsidR="00843D21" w:rsidRPr="00BB35D9" w:rsidRDefault="00843D21" w:rsidP="00843D21">
            <w:pPr>
              <w:tabs>
                <w:tab w:val="left" w:pos="3760"/>
                <w:tab w:val="left" w:pos="6312"/>
              </w:tabs>
              <w:ind w:firstLine="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5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Дебет счета № 20501 «Расчетные счета в кредитных организациях»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43D21" w:rsidRPr="00BB35D9" w:rsidRDefault="00843D21" w:rsidP="00843D21">
            <w:pPr>
              <w:tabs>
                <w:tab w:val="left" w:pos="3760"/>
                <w:tab w:val="left" w:pos="6312"/>
              </w:tabs>
              <w:ind w:firstLine="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5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Кредит счета № 3030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BB35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«Внутрихозяйственные расчеты»</w:t>
            </w:r>
            <w:r w:rsidR="00DA16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843D21" w:rsidRPr="00803D55" w:rsidRDefault="00843D21" w:rsidP="00843D21">
            <w:pPr>
              <w:tabs>
                <w:tab w:val="left" w:pos="3760"/>
                <w:tab w:val="left" w:pos="6312"/>
              </w:tabs>
              <w:ind w:firstLine="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Дебет счета № 30306 «Внутрихозяйственные расчеты»</w:t>
            </w:r>
          </w:p>
          <w:p w:rsidR="009B3A93" w:rsidRDefault="00843D21" w:rsidP="00805198">
            <w:pPr>
              <w:tabs>
                <w:tab w:val="left" w:pos="3760"/>
                <w:tab w:val="left" w:pos="6312"/>
              </w:tabs>
              <w:ind w:firstLine="42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B35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Кредит счета</w:t>
            </w:r>
            <w:r w:rsidRPr="00803D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03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пенсионных накоплений на этапе накопления по договорам ОПС (ООЧП</w:t>
            </w:r>
            <w:r w:rsidRPr="007C56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="00DA16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805198" w:rsidRDefault="00805198" w:rsidP="00805198">
            <w:pPr>
              <w:tabs>
                <w:tab w:val="left" w:pos="3760"/>
                <w:tab w:val="left" w:pos="6312"/>
              </w:tabs>
              <w:ind w:firstLine="42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05198" w:rsidRPr="00805198" w:rsidRDefault="00805198" w:rsidP="00805198">
            <w:pPr>
              <w:tabs>
                <w:tab w:val="left" w:pos="3760"/>
                <w:tab w:val="left" w:pos="6312"/>
              </w:tabs>
              <w:ind w:firstLine="42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050F1" w:rsidRPr="00B64D91" w:rsidTr="004941C9">
        <w:tc>
          <w:tcPr>
            <w:tcW w:w="14661" w:type="dxa"/>
            <w:gridSpan w:val="3"/>
            <w:shd w:val="clear" w:color="auto" w:fill="auto"/>
          </w:tcPr>
          <w:p w:rsidR="00E050F1" w:rsidRDefault="00E050F1" w:rsidP="00AA3FF0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B64D91">
              <w:rPr>
                <w:b/>
                <w:bCs/>
                <w:sz w:val="20"/>
                <w:szCs w:val="20"/>
              </w:rPr>
              <w:lastRenderedPageBreak/>
              <w:t>Раздел 2. О порядке отражения на счетах бухгалтерского учета прочих операций</w:t>
            </w:r>
          </w:p>
          <w:p w:rsidR="00E050F1" w:rsidRPr="00B64D91" w:rsidRDefault="00E050F1" w:rsidP="009C121F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E050F1" w:rsidRPr="00B64D91" w:rsidTr="009C121F">
        <w:tc>
          <w:tcPr>
            <w:tcW w:w="560" w:type="dxa"/>
            <w:shd w:val="clear" w:color="auto" w:fill="auto"/>
          </w:tcPr>
          <w:p w:rsidR="00E050F1" w:rsidRPr="00E050F1" w:rsidRDefault="00E050F1" w:rsidP="009C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7940" w:type="dxa"/>
            <w:shd w:val="clear" w:color="auto" w:fill="auto"/>
          </w:tcPr>
          <w:p w:rsidR="00E050F1" w:rsidRPr="00C7563B" w:rsidRDefault="00E050F1" w:rsidP="00E050F1">
            <w:pPr>
              <w:pStyle w:val="af4"/>
              <w:spacing w:before="0" w:beforeAutospacing="0" w:after="0" w:afterAutospacing="0"/>
              <w:ind w:firstLine="459"/>
              <w:jc w:val="both"/>
              <w:rPr>
                <w:sz w:val="20"/>
                <w:szCs w:val="20"/>
              </w:rPr>
            </w:pPr>
            <w:r w:rsidRPr="00C7563B">
              <w:rPr>
                <w:sz w:val="20"/>
                <w:szCs w:val="20"/>
              </w:rPr>
              <w:t>Правильно ли мы понимаем, что:</w:t>
            </w:r>
          </w:p>
          <w:p w:rsidR="00E050F1" w:rsidRPr="00C7563B" w:rsidRDefault="00E050F1" w:rsidP="00E050F1">
            <w:pPr>
              <w:pStyle w:val="af4"/>
              <w:spacing w:before="0" w:beforeAutospacing="0" w:after="0" w:afterAutospacing="0"/>
              <w:ind w:firstLine="459"/>
              <w:jc w:val="both"/>
              <w:rPr>
                <w:sz w:val="20"/>
                <w:szCs w:val="20"/>
              </w:rPr>
            </w:pPr>
            <w:r w:rsidRPr="00C7563B">
              <w:rPr>
                <w:sz w:val="20"/>
                <w:szCs w:val="20"/>
              </w:rPr>
              <w:t>1) для отражения вознаграждения управляющих компаний по ДДУ</w:t>
            </w:r>
            <w:r w:rsidR="00DA1B6F">
              <w:rPr>
                <w:rStyle w:val="a6"/>
                <w:sz w:val="20"/>
                <w:szCs w:val="20"/>
              </w:rPr>
              <w:footnoteReference w:id="22"/>
            </w:r>
            <w:r w:rsidRPr="00C7563B">
              <w:rPr>
                <w:sz w:val="20"/>
                <w:szCs w:val="20"/>
              </w:rPr>
              <w:t xml:space="preserve"> средствами РОПС</w:t>
            </w:r>
            <w:r>
              <w:rPr>
                <w:sz w:val="20"/>
                <w:szCs w:val="20"/>
              </w:rPr>
              <w:t xml:space="preserve">, СР (в случае их обособленного </w:t>
            </w:r>
            <w:r w:rsidRPr="00C7563B">
              <w:rPr>
                <w:sz w:val="20"/>
                <w:szCs w:val="20"/>
              </w:rPr>
              <w:t>размещения</w:t>
            </w:r>
            <w:r>
              <w:rPr>
                <w:sz w:val="20"/>
                <w:szCs w:val="20"/>
              </w:rPr>
              <w:t xml:space="preserve"> </w:t>
            </w:r>
            <w:r w:rsidRPr="00C7563B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 </w:t>
            </w:r>
            <w:r w:rsidRPr="00C7563B">
              <w:rPr>
                <w:sz w:val="20"/>
                <w:szCs w:val="20"/>
              </w:rPr>
              <w:t>отдельных портфелях) и по СС, как и прежде, используются следующие счета учета и символы ОФР:</w:t>
            </w:r>
          </w:p>
          <w:p w:rsidR="00E050F1" w:rsidRPr="00C7563B" w:rsidRDefault="00E050F1" w:rsidP="00E050F1">
            <w:pPr>
              <w:pStyle w:val="af4"/>
              <w:spacing w:before="0" w:beforeAutospacing="0" w:after="0" w:afterAutospacing="0"/>
              <w:ind w:firstLine="459"/>
              <w:jc w:val="both"/>
              <w:rPr>
                <w:sz w:val="20"/>
                <w:szCs w:val="20"/>
              </w:rPr>
            </w:pPr>
            <w:r w:rsidRPr="00C7563B">
              <w:rPr>
                <w:sz w:val="20"/>
                <w:szCs w:val="20"/>
              </w:rPr>
              <w:t>- счет 71802 (ОФР 55703) «Расходы, связанные</w:t>
            </w:r>
            <w:r>
              <w:rPr>
                <w:sz w:val="20"/>
                <w:szCs w:val="20"/>
              </w:rPr>
              <w:t xml:space="preserve"> </w:t>
            </w:r>
            <w:r w:rsidRPr="00C7563B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 </w:t>
            </w:r>
            <w:r w:rsidRPr="00C7563B">
              <w:rPr>
                <w:sz w:val="20"/>
                <w:szCs w:val="20"/>
              </w:rPr>
              <w:t>отраслевыми особенностями» для ДДУ РОПС, т.к. в денежные потоки не включаются расходы по СР и РОПС;</w:t>
            </w:r>
          </w:p>
          <w:p w:rsidR="00E050F1" w:rsidRPr="00C7563B" w:rsidRDefault="00E050F1" w:rsidP="00E050F1">
            <w:pPr>
              <w:pStyle w:val="af4"/>
              <w:spacing w:before="0" w:beforeAutospacing="0" w:after="0" w:afterAutospacing="0"/>
              <w:ind w:firstLine="459"/>
              <w:jc w:val="both"/>
              <w:rPr>
                <w:sz w:val="20"/>
                <w:szCs w:val="20"/>
              </w:rPr>
            </w:pPr>
            <w:r w:rsidRPr="00C7563B">
              <w:rPr>
                <w:sz w:val="20"/>
                <w:szCs w:val="20"/>
              </w:rPr>
              <w:t>- счет 71702 (ОФР 53801) «Прочие расходы» для ДДУ СС?</w:t>
            </w:r>
          </w:p>
          <w:p w:rsidR="00E050F1" w:rsidRPr="00C7563B" w:rsidRDefault="00E050F1" w:rsidP="00E050F1">
            <w:pPr>
              <w:pStyle w:val="af4"/>
              <w:spacing w:before="0" w:beforeAutospacing="0" w:after="0" w:afterAutospacing="0"/>
              <w:ind w:firstLine="459"/>
              <w:jc w:val="both"/>
              <w:rPr>
                <w:sz w:val="20"/>
                <w:szCs w:val="20"/>
              </w:rPr>
            </w:pPr>
            <w:r w:rsidRPr="00C7563B">
              <w:rPr>
                <w:sz w:val="20"/>
                <w:szCs w:val="20"/>
              </w:rPr>
              <w:t xml:space="preserve">Указанные счета и символы ОФР для отражения начисления ВУК рекомендованы Банком России в разъяснениях, опубликованных 26.12.2019 на сайте Банка России </w:t>
            </w:r>
            <w:hyperlink r:id="rId8" w:history="1">
              <w:r w:rsidRPr="00C7563B">
                <w:rPr>
                  <w:sz w:val="20"/>
                  <w:szCs w:val="20"/>
                </w:rPr>
                <w:t>https://www.cbr.ru/na/505-p/;</w:t>
              </w:r>
            </w:hyperlink>
          </w:p>
          <w:p w:rsidR="00E050F1" w:rsidRPr="00C7563B" w:rsidRDefault="00E050F1" w:rsidP="00E050F1">
            <w:pPr>
              <w:pStyle w:val="af4"/>
              <w:spacing w:before="0" w:beforeAutospacing="0" w:after="0" w:afterAutospacing="0"/>
              <w:ind w:firstLine="459"/>
              <w:jc w:val="both"/>
              <w:rPr>
                <w:sz w:val="20"/>
                <w:szCs w:val="20"/>
              </w:rPr>
            </w:pPr>
            <w:r w:rsidRPr="00C7563B">
              <w:rPr>
                <w:sz w:val="20"/>
                <w:szCs w:val="20"/>
              </w:rPr>
              <w:t>2) в случае если наше предположение по бухгалтерским записям по п.1 данного вопроса верно, то в Отчете о финансовых результатах (форма 0420201) в соответствии с примерной группировкой счетов согласно Приложению №7 к Положению 727-П вознаграждение управляющих компаний по договорам доверительного управления будет отражаться по трем разным строкам данного отчета:</w:t>
            </w:r>
          </w:p>
          <w:p w:rsidR="00E050F1" w:rsidRPr="00C7563B" w:rsidRDefault="00E050F1" w:rsidP="00E050F1">
            <w:pPr>
              <w:pStyle w:val="af4"/>
              <w:spacing w:before="0" w:beforeAutospacing="0" w:after="0" w:afterAutospacing="0"/>
              <w:ind w:firstLine="459"/>
              <w:jc w:val="both"/>
              <w:rPr>
                <w:sz w:val="20"/>
                <w:szCs w:val="20"/>
              </w:rPr>
            </w:pPr>
            <w:r w:rsidRPr="00C7563B">
              <w:rPr>
                <w:sz w:val="20"/>
                <w:szCs w:val="20"/>
              </w:rPr>
              <w:t>ВУК по ДДУ НПО, ОПС и ДС - по строке 8 «возникшие требования и прочие расходы по страховым услугам»;</w:t>
            </w:r>
          </w:p>
          <w:p w:rsidR="00E050F1" w:rsidRPr="00C7563B" w:rsidRDefault="00E050F1" w:rsidP="00E050F1">
            <w:pPr>
              <w:pStyle w:val="af4"/>
              <w:spacing w:before="0" w:beforeAutospacing="0" w:after="0" w:afterAutospacing="0"/>
              <w:ind w:firstLine="459"/>
              <w:jc w:val="both"/>
              <w:rPr>
                <w:sz w:val="20"/>
                <w:szCs w:val="20"/>
              </w:rPr>
            </w:pPr>
            <w:r w:rsidRPr="00C7563B">
              <w:rPr>
                <w:sz w:val="20"/>
                <w:szCs w:val="20"/>
              </w:rPr>
              <w:t>ВУК по ДДУ СС - по строке 30 «Общие и административные расходы»;</w:t>
            </w:r>
          </w:p>
          <w:p w:rsidR="006D5436" w:rsidRDefault="00E050F1" w:rsidP="006D5436">
            <w:pPr>
              <w:pStyle w:val="af4"/>
              <w:spacing w:before="0" w:beforeAutospacing="0" w:after="0" w:afterAutospacing="0"/>
              <w:ind w:firstLine="459"/>
              <w:jc w:val="both"/>
              <w:rPr>
                <w:sz w:val="20"/>
                <w:szCs w:val="20"/>
              </w:rPr>
            </w:pPr>
            <w:r w:rsidRPr="00C7563B">
              <w:rPr>
                <w:sz w:val="20"/>
                <w:szCs w:val="20"/>
              </w:rPr>
              <w:t>ВУК по ДДУ РОПС и СР - по строке 33 «Прочие расходы?</w:t>
            </w:r>
          </w:p>
          <w:p w:rsidR="006D5436" w:rsidRDefault="006D5436" w:rsidP="006D5436">
            <w:pPr>
              <w:pStyle w:val="af4"/>
              <w:spacing w:before="0" w:beforeAutospacing="0" w:after="0" w:afterAutospacing="0"/>
              <w:ind w:firstLine="459"/>
              <w:jc w:val="both"/>
              <w:rPr>
                <w:sz w:val="20"/>
                <w:szCs w:val="20"/>
              </w:rPr>
            </w:pPr>
          </w:p>
          <w:p w:rsidR="006D5436" w:rsidRDefault="006D5436" w:rsidP="006D5436">
            <w:pPr>
              <w:pStyle w:val="af4"/>
              <w:spacing w:before="0" w:beforeAutospacing="0" w:after="0" w:afterAutospacing="0"/>
              <w:ind w:firstLine="459"/>
              <w:jc w:val="both"/>
              <w:rPr>
                <w:sz w:val="20"/>
                <w:szCs w:val="20"/>
              </w:rPr>
            </w:pPr>
          </w:p>
          <w:p w:rsidR="006D5436" w:rsidRDefault="006D5436" w:rsidP="006D5436">
            <w:pPr>
              <w:pStyle w:val="af4"/>
              <w:spacing w:before="0" w:beforeAutospacing="0" w:after="0" w:afterAutospacing="0"/>
              <w:ind w:firstLine="459"/>
              <w:jc w:val="both"/>
              <w:rPr>
                <w:sz w:val="20"/>
                <w:szCs w:val="20"/>
              </w:rPr>
            </w:pPr>
          </w:p>
          <w:p w:rsidR="006D5436" w:rsidRDefault="006D5436" w:rsidP="006D5436">
            <w:pPr>
              <w:pStyle w:val="af4"/>
              <w:spacing w:before="0" w:beforeAutospacing="0" w:after="0" w:afterAutospacing="0"/>
              <w:ind w:firstLine="459"/>
              <w:jc w:val="both"/>
              <w:rPr>
                <w:sz w:val="20"/>
                <w:szCs w:val="20"/>
              </w:rPr>
            </w:pPr>
          </w:p>
          <w:p w:rsidR="006D5436" w:rsidRDefault="006D5436" w:rsidP="006D5436">
            <w:pPr>
              <w:pStyle w:val="af4"/>
              <w:spacing w:before="0" w:beforeAutospacing="0" w:after="0" w:afterAutospacing="0"/>
              <w:ind w:firstLine="459"/>
              <w:jc w:val="both"/>
              <w:rPr>
                <w:sz w:val="20"/>
                <w:szCs w:val="20"/>
              </w:rPr>
            </w:pPr>
          </w:p>
          <w:p w:rsidR="006D5436" w:rsidRDefault="006D5436" w:rsidP="006D5436">
            <w:pPr>
              <w:pStyle w:val="af4"/>
              <w:spacing w:before="0" w:beforeAutospacing="0" w:after="0" w:afterAutospacing="0"/>
              <w:ind w:firstLine="459"/>
              <w:jc w:val="both"/>
              <w:rPr>
                <w:sz w:val="20"/>
                <w:szCs w:val="20"/>
              </w:rPr>
            </w:pPr>
          </w:p>
          <w:p w:rsidR="006D5436" w:rsidRDefault="006D5436" w:rsidP="006D5436">
            <w:pPr>
              <w:pStyle w:val="af4"/>
              <w:spacing w:before="0" w:beforeAutospacing="0" w:after="0" w:afterAutospacing="0"/>
              <w:ind w:firstLine="459"/>
              <w:jc w:val="both"/>
              <w:rPr>
                <w:sz w:val="20"/>
                <w:szCs w:val="20"/>
              </w:rPr>
            </w:pPr>
          </w:p>
          <w:p w:rsidR="006D5436" w:rsidRPr="00A0694F" w:rsidRDefault="006D5436" w:rsidP="006D5436">
            <w:pPr>
              <w:pStyle w:val="af4"/>
              <w:spacing w:before="0" w:beforeAutospacing="0" w:after="0" w:afterAutospacing="0"/>
              <w:ind w:firstLine="459"/>
              <w:jc w:val="both"/>
              <w:rPr>
                <w:sz w:val="20"/>
                <w:szCs w:val="20"/>
              </w:rPr>
            </w:pPr>
          </w:p>
        </w:tc>
        <w:tc>
          <w:tcPr>
            <w:tcW w:w="6161" w:type="dxa"/>
            <w:shd w:val="clear" w:color="auto" w:fill="auto"/>
          </w:tcPr>
          <w:p w:rsidR="00B97E43" w:rsidRDefault="00B97E43" w:rsidP="00E050F1">
            <w:pPr>
              <w:tabs>
                <w:tab w:val="left" w:pos="3760"/>
                <w:tab w:val="left" w:pos="6312"/>
              </w:tabs>
              <w:ind w:firstLine="426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Суть вопроса была в том, </w:t>
            </w:r>
            <w:proofErr w:type="gramStart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что  так</w:t>
            </w:r>
            <w:proofErr w:type="gramEnd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РОПС и СР не включается в расчет денежных потоков, на что ссылался ЦБ, то и учет должен идти по другому.</w:t>
            </w:r>
          </w:p>
          <w:p w:rsidR="00E050F1" w:rsidRPr="00AC0C24" w:rsidRDefault="00664684" w:rsidP="00E050F1">
            <w:pPr>
              <w:tabs>
                <w:tab w:val="left" w:pos="3760"/>
                <w:tab w:val="left" w:pos="6312"/>
              </w:tabs>
              <w:ind w:firstLine="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E4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Расходы по уплате вознаграждения управляющей компании</w:t>
            </w:r>
            <w:r w:rsidR="00956C31" w:rsidRPr="00B97E4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по договорам</w:t>
            </w:r>
            <w:r w:rsidRPr="00B97E4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доверительного управления средствами РОПС</w:t>
            </w:r>
            <w:r w:rsidRPr="00B97E43">
              <w:rPr>
                <w:rStyle w:val="a6"/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footnoteReference w:id="23"/>
            </w:r>
            <w:r w:rsidRPr="00B97E4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и СР</w:t>
            </w:r>
            <w:r w:rsidRPr="00AC0C24">
              <w:rPr>
                <w:rStyle w:val="a6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24"/>
            </w:r>
            <w:r w:rsidR="00FB4C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связанных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</w:t>
            </w:r>
            <w:r w:rsidRPr="00EC35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договор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ами</w:t>
            </w:r>
            <w:r w:rsidRPr="00EC35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ОПС, </w:t>
            </w:r>
            <w:r w:rsidRPr="00AC0C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r w:rsidRPr="00AC0C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</w:t>
            </w:r>
            <w:r w:rsidRPr="006D54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956C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которые учитываются</w:t>
            </w:r>
            <w:r w:rsidRPr="006D54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фондом в соответствии </w:t>
            </w:r>
            <w:r w:rsidR="00655598" w:rsidRPr="00B97E4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МСФО (IFRS) 17</w:t>
            </w:r>
            <w:r w:rsidR="00DA1B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655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отражаются фондом</w:t>
            </w:r>
            <w:r w:rsidRPr="00AC0C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C7059" w:rsidRPr="00AC0C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</w:t>
            </w:r>
            <w:r w:rsidR="00E050F1" w:rsidRPr="00AC0C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счета</w:t>
            </w:r>
            <w:r w:rsidR="000C7059" w:rsidRPr="00AC0C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r w:rsidR="00E050F1" w:rsidRPr="00AC0C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C7059" w:rsidRPr="00AC0C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бухгалтерского </w:t>
            </w:r>
            <w:r w:rsidR="00E050F1" w:rsidRPr="00AC0C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учета:</w:t>
            </w:r>
          </w:p>
          <w:p w:rsidR="00E050F1" w:rsidRPr="00AC0C24" w:rsidRDefault="00E050F1" w:rsidP="00E050F1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C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71310 «Расходы по страхованию по договорам НПО»</w:t>
            </w:r>
            <w:r w:rsidR="00DF37D7" w:rsidRPr="00AC0C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символу ОФР 21104 «иные расходы по денежным потокам, которые связаны с выполнением договоров»;</w:t>
            </w:r>
            <w:r w:rsidRPr="00AC0C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DF37D7" w:rsidRPr="00AC0C24" w:rsidRDefault="00E050F1" w:rsidP="00DF37D7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C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71318 «Расходы по страхованию по договорам ОПС»</w:t>
            </w:r>
            <w:r w:rsidR="00DF37D7" w:rsidRPr="00AC0C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символу ОФР 22104 «иные расходы по денежным потокам, которые связаны с выполнением договоров»; </w:t>
            </w:r>
          </w:p>
          <w:p w:rsidR="00DF37D7" w:rsidRPr="00AC0C24" w:rsidRDefault="00E050F1" w:rsidP="00DF37D7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C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71326 «Расходы по страхованию по договорам ДС» </w:t>
            </w:r>
            <w:r w:rsidR="00DF37D7" w:rsidRPr="00AC0C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символу ОФР 24104 «иные расходы по денежным потокам, которые с</w:t>
            </w:r>
            <w:r w:rsidR="008A3883" w:rsidRPr="00AC0C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вязаны с выполнением договоров».</w:t>
            </w:r>
          </w:p>
          <w:p w:rsidR="00E050F1" w:rsidRPr="00EC358A" w:rsidRDefault="00515C22" w:rsidP="002614FB">
            <w:pPr>
              <w:tabs>
                <w:tab w:val="left" w:pos="3760"/>
                <w:tab w:val="left" w:pos="6312"/>
              </w:tabs>
              <w:ind w:firstLine="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515C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асходы по уплате вознаграждения управляющей компании</w:t>
            </w:r>
            <w:r w:rsidR="00BA34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договору доверительного управления средствами </w:t>
            </w:r>
            <w:r w:rsidR="00BA3494" w:rsidRPr="00AC0C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</w:t>
            </w:r>
            <w:r w:rsidR="00BA34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связанного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</w:t>
            </w:r>
            <w:r w:rsidR="008F4B91" w:rsidRPr="00EC35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договор</w:t>
            </w:r>
            <w:r w:rsidR="007F15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ами</w:t>
            </w:r>
            <w:r w:rsidR="008F4B91" w:rsidRPr="00EC35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F4B91" w:rsidRPr="00AC0C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НПО</w:t>
            </w:r>
            <w:r w:rsidR="005231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8F4B91" w:rsidRPr="00AC0C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ДС</w:t>
            </w:r>
            <w:r w:rsidR="008F4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231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отличим</w:t>
            </w:r>
            <w:r w:rsidR="007F15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ыми</w:t>
            </w:r>
            <w:r w:rsidR="005231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инвестиционн</w:t>
            </w:r>
            <w:r w:rsidR="007F15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ыми</w:t>
            </w:r>
            <w:r w:rsidR="005231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составляющ</w:t>
            </w:r>
            <w:r w:rsidR="007F15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ими</w:t>
            </w:r>
            <w:r w:rsidR="006D5436" w:rsidRPr="006D54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BA34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которые учитываются</w:t>
            </w:r>
            <w:r w:rsidR="006D5436" w:rsidRPr="006D54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фондом в </w:t>
            </w:r>
            <w:r w:rsidR="006D5436" w:rsidRPr="00B97E4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соответствии с МСФО (IFRS) 9</w:t>
            </w:r>
            <w:r w:rsidR="006D5436" w:rsidRPr="00B97E43">
              <w:rPr>
                <w:rStyle w:val="a6"/>
                <w:rFonts w:ascii="Times New Roman" w:hAnsi="Times New Roman" w:cs="Times New Roman"/>
                <w:color w:val="FF0000"/>
                <w:sz w:val="20"/>
                <w:szCs w:val="20"/>
              </w:rPr>
              <w:footnoteReference w:id="25"/>
            </w:r>
            <w:r w:rsidR="007F15D6" w:rsidRPr="00B97E4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,</w:t>
            </w:r>
            <w:r w:rsidRPr="00B97E4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отражаются фондом </w:t>
            </w:r>
            <w:r w:rsidR="000C7059" w:rsidRPr="00B97E4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на</w:t>
            </w:r>
            <w:r w:rsidR="00E050F1" w:rsidRPr="00B97E4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 w:rsidR="000C7059" w:rsidRPr="00B97E4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счете</w:t>
            </w:r>
            <w:r w:rsidR="00E050F1" w:rsidRPr="00B97E4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 w:rsidR="00BA3494" w:rsidRPr="00B97E4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бухгалтерского учета </w:t>
            </w:r>
            <w:r w:rsidR="00E050F1" w:rsidRPr="00B97E4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71802</w:t>
            </w:r>
            <w:r w:rsidR="00E050F1" w:rsidRPr="00EC35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«Расходы </w:t>
            </w:r>
            <w:r w:rsidR="00E050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связанные с обеспечением деятельности» </w:t>
            </w:r>
            <w:r w:rsidR="00E050F1" w:rsidRPr="00EC35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символ</w:t>
            </w:r>
            <w:r w:rsidR="00E050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="00E050F1" w:rsidRPr="00EC35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ОФР </w:t>
            </w:r>
            <w:r w:rsidR="00E050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55703 </w:t>
            </w:r>
            <w:r w:rsidR="00E050F1" w:rsidRPr="00EC35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E050F1" w:rsidRPr="000D1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по выплате вознаграждений доверительному управляющему</w:t>
            </w:r>
            <w:r w:rsidR="00E050F1" w:rsidRPr="00EC35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».</w:t>
            </w:r>
          </w:p>
          <w:p w:rsidR="00E050F1" w:rsidRPr="00B97E43" w:rsidRDefault="00116C9F" w:rsidP="00E050F1">
            <w:pPr>
              <w:tabs>
                <w:tab w:val="left" w:pos="3760"/>
                <w:tab w:val="left" w:pos="6312"/>
              </w:tabs>
              <w:ind w:firstLine="426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515C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асходы по уплате вознаграждения управляющей компании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договору</w:t>
            </w:r>
            <w:r w:rsidR="00E050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доверительного управления собственными средствами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отражаются фондом на счете бухгалтерского учета</w:t>
            </w:r>
            <w:r w:rsidR="00E050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050F1" w:rsidRPr="00EC35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71</w:t>
            </w:r>
            <w:r w:rsidR="00E050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702</w:t>
            </w:r>
            <w:r w:rsidR="00E050F1" w:rsidRPr="00EC35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r w:rsidR="00E050F1" w:rsidRPr="00D731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по другим операциям</w:t>
            </w:r>
            <w:r w:rsidR="00E050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r w:rsidR="00E050F1" w:rsidRPr="00EC35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символ</w:t>
            </w:r>
            <w:r w:rsidR="00E050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="00E050F1" w:rsidRPr="00EC35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ОФР </w:t>
            </w:r>
            <w:r w:rsidR="00E050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53801 </w:t>
            </w:r>
            <w:r w:rsidR="00E050F1" w:rsidRPr="00EC35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E050F1" w:rsidRPr="00D731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передачу </w:t>
            </w:r>
            <w:r w:rsidR="00E050F1" w:rsidRPr="00D731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активов в доверительное управление</w:t>
            </w:r>
            <w:r w:rsidR="00E050F1" w:rsidRPr="00EC35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».</w:t>
            </w:r>
            <w:r w:rsidR="00B97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97E43" w:rsidRPr="00B97E4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Подтвердили наш вопрос по ВУК СС</w:t>
            </w:r>
          </w:p>
          <w:p w:rsidR="00CE4E3A" w:rsidRPr="00B97E43" w:rsidRDefault="00CE4E3A" w:rsidP="00CE4E3A">
            <w:pPr>
              <w:ind w:firstLine="318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97E4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В соответствии с пунктом 7 Положения № 727-П при определении показателя отчета о финансовых результатах</w:t>
            </w:r>
            <w:r w:rsidRPr="00B97E43">
              <w:rPr>
                <w:rStyle w:val="a6"/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footnoteReference w:id="26"/>
            </w:r>
            <w:r w:rsidRPr="00B97E4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фонд должен использовать примерную группировку счетов бухгалтерского учета </w:t>
            </w:r>
            <w:r w:rsidRPr="004B34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данным аналитического учета символов отчета о финансовых результатах в соответствии с показателями отчета о финансовых результатах негосударственного пенсионного фонда</w:t>
            </w:r>
            <w:r>
              <w:rPr>
                <w:rStyle w:val="a6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27"/>
            </w:r>
            <w:r w:rsidRPr="00D04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B97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97E43" w:rsidRPr="00B97E4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В 3 различных </w:t>
            </w:r>
            <w:r w:rsidR="00D86AF6" w:rsidRPr="00B97E4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примечаниях</w:t>
            </w:r>
          </w:p>
          <w:p w:rsidR="00CE4E3A" w:rsidRPr="00B64D91" w:rsidRDefault="00CE4E3A" w:rsidP="00CE4E3A">
            <w:pPr>
              <w:ind w:firstLine="318"/>
              <w:jc w:val="both"/>
              <w:rPr>
                <w:sz w:val="20"/>
                <w:szCs w:val="20"/>
              </w:rPr>
            </w:pPr>
          </w:p>
        </w:tc>
      </w:tr>
      <w:tr w:rsidR="004144BF" w:rsidRPr="00B64D91" w:rsidTr="009C121F">
        <w:tc>
          <w:tcPr>
            <w:tcW w:w="560" w:type="dxa"/>
            <w:shd w:val="clear" w:color="auto" w:fill="auto"/>
          </w:tcPr>
          <w:p w:rsidR="004144BF" w:rsidRPr="002443CD" w:rsidRDefault="002443CD" w:rsidP="009C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7940" w:type="dxa"/>
            <w:shd w:val="clear" w:color="auto" w:fill="auto"/>
            <w:vAlign w:val="center"/>
          </w:tcPr>
          <w:p w:rsidR="00520687" w:rsidRDefault="002443CD" w:rsidP="00C7563B">
            <w:pPr>
              <w:pStyle w:val="af4"/>
              <w:spacing w:before="0" w:beforeAutospacing="0" w:after="0" w:afterAutospacing="0"/>
              <w:ind w:firstLine="459"/>
              <w:jc w:val="both"/>
              <w:rPr>
                <w:sz w:val="20"/>
                <w:szCs w:val="20"/>
              </w:rPr>
            </w:pPr>
            <w:r w:rsidRPr="00C7563B">
              <w:rPr>
                <w:sz w:val="20"/>
                <w:szCs w:val="20"/>
              </w:rPr>
              <w:t>Письмо в адрес</w:t>
            </w:r>
            <w:r w:rsidR="00C7563B">
              <w:rPr>
                <w:sz w:val="20"/>
                <w:szCs w:val="20"/>
              </w:rPr>
              <w:t xml:space="preserve"> НАПФ от 21 декабря 2021 года № </w:t>
            </w:r>
            <w:r w:rsidRPr="00C7563B">
              <w:rPr>
                <w:sz w:val="20"/>
                <w:szCs w:val="20"/>
              </w:rPr>
              <w:t>17-2-1/672 имеется в</w:t>
            </w:r>
            <w:r w:rsidR="00C7563B">
              <w:rPr>
                <w:sz w:val="20"/>
                <w:szCs w:val="20"/>
              </w:rPr>
              <w:t xml:space="preserve"> </w:t>
            </w:r>
            <w:r w:rsidRPr="00C7563B">
              <w:rPr>
                <w:sz w:val="20"/>
                <w:szCs w:val="20"/>
              </w:rPr>
              <w:t>распоряжении фондов. Тем не менее, просим пояснить</w:t>
            </w:r>
            <w:r w:rsidR="00BE5256">
              <w:rPr>
                <w:sz w:val="20"/>
                <w:szCs w:val="20"/>
              </w:rPr>
              <w:t>,</w:t>
            </w:r>
            <w:r w:rsidRPr="00C7563B">
              <w:rPr>
                <w:sz w:val="20"/>
                <w:szCs w:val="20"/>
              </w:rPr>
              <w:t xml:space="preserve"> правильно ли мы понимаем, что в случае реклассифи</w:t>
            </w:r>
            <w:r w:rsidR="00C7563B">
              <w:rPr>
                <w:sz w:val="20"/>
                <w:szCs w:val="20"/>
              </w:rPr>
              <w:t xml:space="preserve">кации ценных бумаг из категории </w:t>
            </w:r>
            <w:r w:rsidRPr="00C7563B">
              <w:rPr>
                <w:sz w:val="20"/>
                <w:szCs w:val="20"/>
              </w:rPr>
              <w:t>оцениваемых</w:t>
            </w:r>
            <w:r w:rsidR="00C7563B">
              <w:rPr>
                <w:sz w:val="20"/>
                <w:szCs w:val="20"/>
              </w:rPr>
              <w:t xml:space="preserve"> </w:t>
            </w:r>
            <w:r w:rsidRPr="00C7563B">
              <w:rPr>
                <w:sz w:val="20"/>
                <w:szCs w:val="20"/>
              </w:rPr>
              <w:t>по</w:t>
            </w:r>
            <w:r w:rsidR="00C7563B">
              <w:rPr>
                <w:sz w:val="20"/>
                <w:szCs w:val="20"/>
              </w:rPr>
              <w:t xml:space="preserve"> </w:t>
            </w:r>
            <w:r w:rsidRPr="00C7563B">
              <w:rPr>
                <w:sz w:val="20"/>
                <w:szCs w:val="20"/>
              </w:rPr>
              <w:t>амортизированной стоимости, в категорию оцениваемых по справедливой стоимости через прибыль</w:t>
            </w:r>
            <w:r w:rsidR="00C7563B">
              <w:rPr>
                <w:sz w:val="20"/>
                <w:szCs w:val="20"/>
              </w:rPr>
              <w:t xml:space="preserve"> или убыток (с учетом того, что </w:t>
            </w:r>
            <w:r w:rsidRPr="00C7563B">
              <w:rPr>
                <w:sz w:val="20"/>
                <w:szCs w:val="20"/>
              </w:rPr>
              <w:t>Учетной</w:t>
            </w:r>
            <w:r w:rsidR="00C7563B">
              <w:rPr>
                <w:sz w:val="20"/>
                <w:szCs w:val="20"/>
              </w:rPr>
              <w:t xml:space="preserve"> </w:t>
            </w:r>
            <w:r w:rsidRPr="00C7563B">
              <w:rPr>
                <w:sz w:val="20"/>
                <w:szCs w:val="20"/>
              </w:rPr>
              <w:t>политикой</w:t>
            </w:r>
            <w:r w:rsidR="00C7563B">
              <w:rPr>
                <w:sz w:val="20"/>
                <w:szCs w:val="20"/>
              </w:rPr>
              <w:t xml:space="preserve"> </w:t>
            </w:r>
            <w:r w:rsidRPr="00C7563B">
              <w:rPr>
                <w:sz w:val="20"/>
                <w:szCs w:val="20"/>
              </w:rPr>
              <w:t>фонда</w:t>
            </w:r>
            <w:r w:rsidR="00C7563B">
              <w:rPr>
                <w:sz w:val="20"/>
                <w:szCs w:val="20"/>
              </w:rPr>
              <w:t xml:space="preserve"> </w:t>
            </w:r>
            <w:r w:rsidRPr="00C7563B">
              <w:rPr>
                <w:sz w:val="20"/>
                <w:szCs w:val="20"/>
              </w:rPr>
              <w:t>предусмотрено рассчитывать процентный доход линейным методом для ценных бумаг, оцениваемых через прибыль или убыток), суммы корректировок со счетов второго порядка</w:t>
            </w:r>
            <w:r w:rsidR="00C7563B">
              <w:rPr>
                <w:sz w:val="20"/>
                <w:szCs w:val="20"/>
              </w:rPr>
              <w:t xml:space="preserve"> </w:t>
            </w:r>
            <w:r w:rsidRPr="00C7563B">
              <w:rPr>
                <w:sz w:val="20"/>
                <w:szCs w:val="20"/>
              </w:rPr>
              <w:t>балансового</w:t>
            </w:r>
            <w:r w:rsidR="00C7563B">
              <w:rPr>
                <w:sz w:val="20"/>
                <w:szCs w:val="20"/>
              </w:rPr>
              <w:t xml:space="preserve"> </w:t>
            </w:r>
            <w:r w:rsidRPr="00C7563B">
              <w:rPr>
                <w:sz w:val="20"/>
                <w:szCs w:val="20"/>
              </w:rPr>
              <w:t>счета</w:t>
            </w:r>
            <w:r w:rsidR="00C7563B">
              <w:rPr>
                <w:sz w:val="20"/>
                <w:szCs w:val="20"/>
              </w:rPr>
              <w:t xml:space="preserve"> </w:t>
            </w:r>
            <w:r w:rsidRPr="00C7563B">
              <w:rPr>
                <w:sz w:val="20"/>
                <w:szCs w:val="20"/>
              </w:rPr>
              <w:t>№501</w:t>
            </w:r>
            <w:r w:rsidR="00C7563B">
              <w:rPr>
                <w:sz w:val="20"/>
                <w:szCs w:val="20"/>
              </w:rPr>
              <w:t xml:space="preserve"> </w:t>
            </w:r>
            <w:r w:rsidRPr="00C7563B">
              <w:rPr>
                <w:sz w:val="20"/>
                <w:szCs w:val="20"/>
              </w:rPr>
              <w:t>(перенесенные со счетов второго порядка балансового счета № 504) будут учитывается в учете фонда без изменения их величины до момента реализации или погашения?</w:t>
            </w:r>
          </w:p>
          <w:p w:rsidR="00576F40" w:rsidRPr="00B64D91" w:rsidRDefault="00576F40" w:rsidP="00C7563B">
            <w:pPr>
              <w:pStyle w:val="af4"/>
              <w:spacing w:before="0" w:beforeAutospacing="0" w:after="0" w:afterAutospacing="0"/>
              <w:ind w:firstLine="459"/>
              <w:jc w:val="both"/>
              <w:rPr>
                <w:sz w:val="20"/>
                <w:szCs w:val="20"/>
              </w:rPr>
            </w:pPr>
          </w:p>
        </w:tc>
        <w:tc>
          <w:tcPr>
            <w:tcW w:w="6161" w:type="dxa"/>
            <w:shd w:val="clear" w:color="auto" w:fill="auto"/>
          </w:tcPr>
          <w:p w:rsidR="004144BF" w:rsidRPr="00B64D91" w:rsidRDefault="005D0677" w:rsidP="00886F7A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4ED">
              <w:rPr>
                <w:rFonts w:ascii="Times New Roman" w:eastAsia="Times New Roman" w:hAnsi="Times New Roman" w:cs="Times New Roman"/>
                <w:sz w:val="20"/>
                <w:szCs w:val="20"/>
              </w:rPr>
              <w:t>В указанном случае отражение фондом на счете второго порядка по учету корректировок, увеличивающих (уменьшающих) стоимость долговых ценных бумаг, счета № 501</w:t>
            </w:r>
            <w:r w:rsidR="00BE52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r w:rsidR="00BE5256" w:rsidRPr="00BE5256">
              <w:rPr>
                <w:rFonts w:ascii="Times New Roman" w:eastAsia="Times New Roman" w:hAnsi="Times New Roman" w:cs="Times New Roman"/>
                <w:sz w:val="20"/>
                <w:szCs w:val="20"/>
              </w:rPr>
              <w:t>Долговые ценные бумаги, оцениваемые по справедливой стоимости через прибыль или убыток</w:t>
            </w:r>
            <w:r w:rsidR="00BE5256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Pr="00C934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суммы корректировки, обусловленной применением фондом дисконтирования</w:t>
            </w:r>
            <w:r w:rsidR="00886F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934ED">
              <w:rPr>
                <w:rFonts w:ascii="Times New Roman" w:eastAsia="Times New Roman" w:hAnsi="Times New Roman" w:cs="Times New Roman"/>
                <w:sz w:val="20"/>
                <w:szCs w:val="20"/>
              </w:rPr>
              <w:t>до реклассификации долговых ценных бумаг, без изменения ее величины до прекращения пр</w:t>
            </w:r>
            <w:r w:rsidR="00886F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изнания указанных ценных бумаг </w:t>
            </w:r>
            <w:r w:rsidRPr="00C934ED"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противоречит Положению Банка России № 494-П</w:t>
            </w:r>
            <w:r w:rsidRPr="00C934ED">
              <w:rPr>
                <w:rStyle w:val="a6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28"/>
            </w:r>
            <w:r w:rsidRPr="00C934E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9663C" w:rsidRPr="00B64D91" w:rsidTr="009C121F">
        <w:tc>
          <w:tcPr>
            <w:tcW w:w="14661" w:type="dxa"/>
            <w:gridSpan w:val="3"/>
            <w:shd w:val="clear" w:color="auto" w:fill="auto"/>
          </w:tcPr>
          <w:p w:rsidR="0069663C" w:rsidRDefault="0069663C" w:rsidP="00BE5256">
            <w:pPr>
              <w:ind w:firstLine="45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4D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Раздел 3. Составление бухгалтерской (финансовой) отчетности и надзорно-</w:t>
            </w:r>
            <w:r w:rsidRPr="00AC0C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статистической отчетности </w:t>
            </w:r>
            <w:r w:rsidR="00BE5256" w:rsidRPr="00AC0C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фонда</w:t>
            </w:r>
          </w:p>
          <w:p w:rsidR="00576F40" w:rsidRPr="00B64D91" w:rsidRDefault="00576F40" w:rsidP="00BE5256">
            <w:pPr>
              <w:ind w:firstLine="4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06C3" w:rsidRPr="00B64D91" w:rsidTr="00077507">
        <w:trPr>
          <w:trHeight w:val="3795"/>
        </w:trPr>
        <w:tc>
          <w:tcPr>
            <w:tcW w:w="560" w:type="dxa"/>
            <w:shd w:val="clear" w:color="auto" w:fill="auto"/>
          </w:tcPr>
          <w:p w:rsidR="00EB06C3" w:rsidRPr="00B64D91" w:rsidRDefault="00EB06C3" w:rsidP="009C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7940" w:type="dxa"/>
            <w:shd w:val="clear" w:color="auto" w:fill="auto"/>
          </w:tcPr>
          <w:p w:rsidR="00EB06C3" w:rsidRPr="00C7563B" w:rsidRDefault="00EB06C3" w:rsidP="00C7563B">
            <w:pPr>
              <w:pStyle w:val="af4"/>
              <w:spacing w:before="0" w:beforeAutospacing="0" w:after="0" w:afterAutospacing="0"/>
              <w:ind w:firstLine="459"/>
              <w:jc w:val="both"/>
              <w:rPr>
                <w:sz w:val="20"/>
                <w:szCs w:val="20"/>
              </w:rPr>
            </w:pPr>
            <w:r w:rsidRPr="00C7563B">
              <w:rPr>
                <w:sz w:val="20"/>
                <w:szCs w:val="20"/>
              </w:rPr>
              <w:t>При выполнении условия, установленного пунктом 4.1.5 МСФО (IFRS) 9</w:t>
            </w:r>
            <w:r w:rsidR="00576F40">
              <w:rPr>
                <w:rStyle w:val="a6"/>
                <w:sz w:val="20"/>
                <w:szCs w:val="20"/>
              </w:rPr>
              <w:footnoteReference w:id="29"/>
            </w:r>
            <w:r>
              <w:rPr>
                <w:sz w:val="20"/>
                <w:szCs w:val="20"/>
              </w:rPr>
              <w:t xml:space="preserve">, фонд вправе по </w:t>
            </w:r>
            <w:r w:rsidRPr="00C7563B">
              <w:rPr>
                <w:sz w:val="20"/>
                <w:szCs w:val="20"/>
              </w:rPr>
              <w:t>собственному</w:t>
            </w:r>
            <w:r w:rsidRPr="00C7563B">
              <w:rPr>
                <w:sz w:val="20"/>
                <w:szCs w:val="20"/>
              </w:rPr>
              <w:tab/>
              <w:t>усмотрению</w:t>
            </w:r>
            <w:r>
              <w:rPr>
                <w:sz w:val="20"/>
                <w:szCs w:val="20"/>
              </w:rPr>
              <w:t xml:space="preserve"> </w:t>
            </w:r>
            <w:r w:rsidRPr="00C7563B">
              <w:rPr>
                <w:sz w:val="20"/>
                <w:szCs w:val="20"/>
              </w:rPr>
              <w:t>классифицировать долговой финансовый актив в категорию финансовых активов, оцениваемых по справедливой стоимости через прибыль или убыток.</w:t>
            </w:r>
          </w:p>
          <w:p w:rsidR="00EB06C3" w:rsidRPr="00B64D91" w:rsidRDefault="00EB06C3" w:rsidP="0091241F">
            <w:pPr>
              <w:pStyle w:val="af4"/>
              <w:spacing w:before="0" w:beforeAutospacing="0" w:after="0" w:afterAutospacing="0"/>
              <w:ind w:firstLine="459"/>
              <w:jc w:val="both"/>
              <w:rPr>
                <w:sz w:val="20"/>
                <w:szCs w:val="20"/>
              </w:rPr>
            </w:pPr>
            <w:r w:rsidRPr="00C7563B">
              <w:rPr>
                <w:sz w:val="20"/>
                <w:szCs w:val="20"/>
              </w:rPr>
              <w:t>Просим вас привести конкретный пример такого условия, которое может возникнуть в деятельности НПФ и поз</w:t>
            </w:r>
            <w:r>
              <w:rPr>
                <w:sz w:val="20"/>
                <w:szCs w:val="20"/>
              </w:rPr>
              <w:t xml:space="preserve">волит устранить или значительно </w:t>
            </w:r>
            <w:r w:rsidRPr="00C7563B">
              <w:rPr>
                <w:sz w:val="20"/>
                <w:szCs w:val="20"/>
              </w:rPr>
              <w:t>уменьшить</w:t>
            </w:r>
            <w:r>
              <w:rPr>
                <w:sz w:val="20"/>
                <w:szCs w:val="20"/>
              </w:rPr>
              <w:t xml:space="preserve"> </w:t>
            </w:r>
            <w:r w:rsidRPr="00C7563B">
              <w:rPr>
                <w:sz w:val="20"/>
                <w:szCs w:val="20"/>
              </w:rPr>
              <w:t>непоследова</w:t>
            </w:r>
            <w:r>
              <w:rPr>
                <w:sz w:val="20"/>
                <w:szCs w:val="20"/>
              </w:rPr>
              <w:t xml:space="preserve">тельность подходов к оценке или </w:t>
            </w:r>
            <w:r w:rsidRPr="00C7563B">
              <w:rPr>
                <w:sz w:val="20"/>
                <w:szCs w:val="20"/>
              </w:rPr>
              <w:t>признанию (иногда именуемую</w:t>
            </w:r>
            <w:r>
              <w:rPr>
                <w:sz w:val="20"/>
                <w:szCs w:val="20"/>
              </w:rPr>
              <w:t xml:space="preserve"> </w:t>
            </w:r>
            <w:r w:rsidRPr="00C7563B">
              <w:rPr>
                <w:sz w:val="20"/>
                <w:szCs w:val="20"/>
              </w:rPr>
              <w:t>«учетным несоответствием»).</w:t>
            </w:r>
          </w:p>
        </w:tc>
        <w:tc>
          <w:tcPr>
            <w:tcW w:w="6161" w:type="dxa"/>
            <w:shd w:val="clear" w:color="auto" w:fill="auto"/>
          </w:tcPr>
          <w:p w:rsidR="00EB06C3" w:rsidRPr="00EB06C3" w:rsidRDefault="00EB06C3" w:rsidP="00EB06C3">
            <w:pPr>
              <w:pStyle w:val="af4"/>
              <w:spacing w:before="0" w:beforeAutospacing="0" w:after="0" w:afterAutospacing="0"/>
              <w:ind w:firstLine="459"/>
              <w:jc w:val="both"/>
              <w:rPr>
                <w:sz w:val="20"/>
                <w:szCs w:val="20"/>
              </w:rPr>
            </w:pPr>
            <w:r w:rsidRPr="00EB06C3">
              <w:rPr>
                <w:sz w:val="20"/>
                <w:szCs w:val="20"/>
              </w:rPr>
              <w:t>Принимая во внимание пункт B4.1.29 МСФО (IFRS) 9, при возникновении непоследовательности подходов к оценке или признанию (далее – учетное несоответствие) фонд должен самостоятельно определить, будет ли в его бухгалтерской (финансовой) отчетности представлена более уместная информация, если финансовый актив будет оцениваться по справедливой стоимости через прибыль или убыток.</w:t>
            </w:r>
          </w:p>
          <w:p w:rsidR="00EB06C3" w:rsidRDefault="00EB06C3" w:rsidP="00EB06C3">
            <w:pPr>
              <w:pStyle w:val="af4"/>
              <w:spacing w:before="0" w:beforeAutospacing="0" w:after="0" w:afterAutospacing="0"/>
              <w:ind w:firstLine="459"/>
              <w:jc w:val="both"/>
              <w:rPr>
                <w:sz w:val="20"/>
                <w:szCs w:val="20"/>
              </w:rPr>
            </w:pPr>
            <w:r w:rsidRPr="00EB06C3">
              <w:rPr>
                <w:sz w:val="20"/>
                <w:szCs w:val="20"/>
              </w:rPr>
              <w:t>Согласно пунктам B4.1.30 и B4.1.31 МСФО (IFRS) 9 в случаях, описанных в подпунктах (а)–(c) пункта B4.1.30, и аналогичных случаях классификация по усмотрению фонда при первоначальном признании финансовых активов, которые в противном случае оценивались бы иначе, как оцениваемых по справедливой стоимости через прибыль или убыток, может устранить или значительно сократить учетное несоответствие и обеспечить представление более уместной информации.</w:t>
            </w:r>
          </w:p>
          <w:p w:rsidR="00B97E43" w:rsidRPr="00B64D91" w:rsidRDefault="00B97E43" w:rsidP="00EB06C3">
            <w:pPr>
              <w:pStyle w:val="af4"/>
              <w:spacing w:before="0" w:beforeAutospacing="0" w:after="0" w:afterAutospacing="0"/>
              <w:ind w:firstLine="459"/>
              <w:jc w:val="both"/>
              <w:rPr>
                <w:sz w:val="20"/>
                <w:szCs w:val="20"/>
              </w:rPr>
            </w:pPr>
            <w:r w:rsidRPr="00B97E43">
              <w:rPr>
                <w:color w:val="FF0000"/>
                <w:sz w:val="20"/>
                <w:szCs w:val="20"/>
              </w:rPr>
              <w:t>Конкретики нет</w:t>
            </w:r>
          </w:p>
        </w:tc>
      </w:tr>
      <w:tr w:rsidR="00EB06C3" w:rsidRPr="00B64D91" w:rsidTr="009C121F">
        <w:tc>
          <w:tcPr>
            <w:tcW w:w="560" w:type="dxa"/>
            <w:shd w:val="clear" w:color="auto" w:fill="auto"/>
          </w:tcPr>
          <w:p w:rsidR="00EB06C3" w:rsidRDefault="00EB06C3" w:rsidP="009C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940" w:type="dxa"/>
            <w:shd w:val="clear" w:color="auto" w:fill="auto"/>
          </w:tcPr>
          <w:p w:rsidR="00EB06C3" w:rsidRPr="00C7563B" w:rsidRDefault="00EB06C3" w:rsidP="00EB06C3">
            <w:pPr>
              <w:pStyle w:val="af4"/>
              <w:spacing w:before="0" w:beforeAutospacing="0" w:after="0" w:afterAutospacing="0"/>
              <w:ind w:firstLine="459"/>
              <w:jc w:val="both"/>
              <w:rPr>
                <w:sz w:val="20"/>
                <w:szCs w:val="20"/>
              </w:rPr>
            </w:pPr>
            <w:r w:rsidRPr="00C7563B">
              <w:rPr>
                <w:sz w:val="20"/>
                <w:szCs w:val="20"/>
              </w:rPr>
              <w:t>При выполнении одного из условий, установленных пунктом 4.2.2 МСФО (IFRS) 9, фонд вправе по собственн</w:t>
            </w:r>
            <w:r>
              <w:rPr>
                <w:sz w:val="20"/>
                <w:szCs w:val="20"/>
              </w:rPr>
              <w:t xml:space="preserve">ому усмотрению классифицировать </w:t>
            </w:r>
            <w:r w:rsidRPr="00C7563B">
              <w:rPr>
                <w:sz w:val="20"/>
                <w:szCs w:val="20"/>
              </w:rPr>
              <w:t>финансовые</w:t>
            </w:r>
            <w:r>
              <w:rPr>
                <w:sz w:val="20"/>
                <w:szCs w:val="20"/>
              </w:rPr>
              <w:t xml:space="preserve"> </w:t>
            </w:r>
            <w:r w:rsidRPr="00C7563B">
              <w:rPr>
                <w:sz w:val="20"/>
                <w:szCs w:val="20"/>
              </w:rPr>
              <w:t>обязательства в категорию финансовых обязательств, оцениваемых по справедливой стоимости через прибыль или убыток.</w:t>
            </w:r>
          </w:p>
          <w:p w:rsidR="00EB06C3" w:rsidRPr="00C7563B" w:rsidRDefault="00EB06C3" w:rsidP="00EB06C3">
            <w:pPr>
              <w:pStyle w:val="af4"/>
              <w:spacing w:before="0" w:beforeAutospacing="0" w:after="0" w:afterAutospacing="0"/>
              <w:ind w:firstLine="459"/>
              <w:jc w:val="both"/>
              <w:rPr>
                <w:sz w:val="20"/>
                <w:szCs w:val="20"/>
              </w:rPr>
            </w:pPr>
            <w:r w:rsidRPr="00C7563B">
              <w:rPr>
                <w:sz w:val="20"/>
                <w:szCs w:val="20"/>
              </w:rPr>
              <w:t>Просим вас привести конкретный пример такого условия, которое может возникнуть в деятельности НПФ и позволит устранить или значительно уменьшить непоследовательность подходов к оценке или признанию (иногда именуемую «учетным несоответствием»).</w:t>
            </w:r>
          </w:p>
        </w:tc>
        <w:tc>
          <w:tcPr>
            <w:tcW w:w="6161" w:type="dxa"/>
            <w:shd w:val="clear" w:color="auto" w:fill="auto"/>
          </w:tcPr>
          <w:p w:rsidR="00EB06C3" w:rsidRPr="00EB06C3" w:rsidRDefault="00EB06C3" w:rsidP="00EB06C3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6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Принимая во внимание пункт B4.1.29 МСФО (IFRS) 9, при возникновении учетного несоответствия фонд должен самостоятельно определить, будет ли в его бухгалтерской (финансовой) отчетности представлена более уместная информация, если финансовое обязательство будет оцениваться по справедливой стоимости через прибыль или убыток.</w:t>
            </w:r>
          </w:p>
          <w:p w:rsidR="00EB06C3" w:rsidRDefault="00EB06C3" w:rsidP="00EB06C3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6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пунктам B4.1.30 и B4.1.31 МСФО (IFRS) 9 в случаях, описанных в подпунктах (b) и (c) пункта B4.1.30, и аналогичных случаях классификация по усмотрению фонда при первоначальном признании финансовых обязательств, которые в противном случае оценивались бы иначе, как оцениваемых по справедливой стоимости через прибыль или убыток, может устранить или значительно сократить учетное несоответствие и обеспечить представление более уместной информации.</w:t>
            </w:r>
          </w:p>
          <w:p w:rsidR="00B97E43" w:rsidRPr="00EB06C3" w:rsidRDefault="00B97E43" w:rsidP="00EB06C3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E43">
              <w:rPr>
                <w:color w:val="FF0000"/>
                <w:sz w:val="20"/>
                <w:szCs w:val="20"/>
              </w:rPr>
              <w:t>Конкретики нет</w:t>
            </w:r>
          </w:p>
        </w:tc>
      </w:tr>
      <w:tr w:rsidR="004D008D" w:rsidRPr="00B64D91" w:rsidTr="009C121F">
        <w:tc>
          <w:tcPr>
            <w:tcW w:w="560" w:type="dxa"/>
            <w:shd w:val="clear" w:color="auto" w:fill="auto"/>
          </w:tcPr>
          <w:p w:rsidR="004D008D" w:rsidRPr="00B64D91" w:rsidRDefault="00C7563B" w:rsidP="009C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940" w:type="dxa"/>
            <w:shd w:val="clear" w:color="auto" w:fill="auto"/>
          </w:tcPr>
          <w:p w:rsidR="00C7563B" w:rsidRPr="00B97E43" w:rsidRDefault="00C7563B" w:rsidP="00C7563B">
            <w:pPr>
              <w:pStyle w:val="af4"/>
              <w:spacing w:before="0" w:beforeAutospacing="0" w:after="0" w:afterAutospacing="0"/>
              <w:ind w:firstLine="459"/>
              <w:jc w:val="both"/>
              <w:rPr>
                <w:color w:val="FF0000"/>
                <w:sz w:val="20"/>
                <w:szCs w:val="20"/>
              </w:rPr>
            </w:pPr>
            <w:r w:rsidRPr="00C7563B">
              <w:rPr>
                <w:sz w:val="20"/>
                <w:szCs w:val="20"/>
              </w:rPr>
              <w:t xml:space="preserve">Согласно ответу Банка России, в состав строки 19 «Расходы на оплату услуг (вознаграждение) управляющей компании» формы 0420253 Указания 6796-У фонды должны включать </w:t>
            </w:r>
            <w:r w:rsidRPr="00B97E43">
              <w:rPr>
                <w:color w:val="FF0000"/>
                <w:sz w:val="20"/>
                <w:szCs w:val="20"/>
              </w:rPr>
              <w:t>все нео</w:t>
            </w:r>
            <w:r w:rsidR="0091241F" w:rsidRPr="00B97E43">
              <w:rPr>
                <w:color w:val="FF0000"/>
                <w:sz w:val="20"/>
                <w:szCs w:val="20"/>
              </w:rPr>
              <w:t xml:space="preserve">бходимые расходы, установленные </w:t>
            </w:r>
            <w:r w:rsidRPr="00B97E43">
              <w:rPr>
                <w:color w:val="FF0000"/>
                <w:sz w:val="20"/>
                <w:szCs w:val="20"/>
              </w:rPr>
              <w:t>договорами</w:t>
            </w:r>
            <w:r w:rsidRPr="00B97E43">
              <w:rPr>
                <w:color w:val="FF0000"/>
                <w:sz w:val="20"/>
                <w:szCs w:val="20"/>
              </w:rPr>
              <w:tab/>
              <w:t>ДУ,</w:t>
            </w:r>
            <w:r w:rsidR="0091241F" w:rsidRPr="00B97E43">
              <w:rPr>
                <w:color w:val="FF0000"/>
                <w:sz w:val="20"/>
                <w:szCs w:val="20"/>
              </w:rPr>
              <w:t xml:space="preserve"> </w:t>
            </w:r>
            <w:r w:rsidRPr="00B97E43">
              <w:rPr>
                <w:color w:val="FF0000"/>
                <w:sz w:val="20"/>
                <w:szCs w:val="20"/>
              </w:rPr>
              <w:t>оплачиваемые за счет средств пенсионных резервов.</w:t>
            </w:r>
          </w:p>
          <w:p w:rsidR="00C7563B" w:rsidRPr="00C7563B" w:rsidRDefault="00C7563B" w:rsidP="00C7563B">
            <w:pPr>
              <w:pStyle w:val="af4"/>
              <w:spacing w:before="0" w:beforeAutospacing="0" w:after="0" w:afterAutospacing="0"/>
              <w:ind w:firstLine="459"/>
              <w:jc w:val="both"/>
              <w:rPr>
                <w:sz w:val="20"/>
                <w:szCs w:val="20"/>
              </w:rPr>
            </w:pPr>
            <w:r w:rsidRPr="00C7563B">
              <w:rPr>
                <w:sz w:val="20"/>
                <w:szCs w:val="20"/>
              </w:rPr>
              <w:lastRenderedPageBreak/>
              <w:t>При этом, в бухгалтерском учете часть данных расходов в соответствии с п. 1.3 Положения 494-П, включается в стоимость ценных бумаг и, соответственно, не включается в финансовый результат от размещения пенсионных резервов.</w:t>
            </w:r>
          </w:p>
          <w:p w:rsidR="004D008D" w:rsidRPr="00B64D91" w:rsidRDefault="00C7563B" w:rsidP="0091241F">
            <w:pPr>
              <w:pStyle w:val="af4"/>
              <w:spacing w:before="0" w:beforeAutospacing="0" w:after="0" w:afterAutospacing="0"/>
              <w:ind w:firstLine="459"/>
              <w:jc w:val="both"/>
              <w:rPr>
                <w:sz w:val="20"/>
                <w:szCs w:val="20"/>
              </w:rPr>
            </w:pPr>
            <w:r w:rsidRPr="00C7563B">
              <w:rPr>
                <w:sz w:val="20"/>
                <w:szCs w:val="20"/>
              </w:rPr>
              <w:t>В связи с неоднозначностью применения на практике полученного ответа при заполнении отчетности и наличием контроля между строками форм при валидации контрольных соотношений в таксономии в отчете 0420253, просим уточнить позицию Банка России по данному</w:t>
            </w:r>
            <w:r w:rsidR="0091241F">
              <w:rPr>
                <w:sz w:val="20"/>
                <w:szCs w:val="20"/>
              </w:rPr>
              <w:t xml:space="preserve"> </w:t>
            </w:r>
            <w:r w:rsidRPr="00C7563B">
              <w:rPr>
                <w:sz w:val="20"/>
                <w:szCs w:val="20"/>
              </w:rPr>
              <w:t>вопросу</w:t>
            </w:r>
            <w:r w:rsidR="0091241F">
              <w:rPr>
                <w:sz w:val="20"/>
                <w:szCs w:val="20"/>
              </w:rPr>
              <w:t xml:space="preserve"> </w:t>
            </w:r>
            <w:r w:rsidRPr="00C7563B">
              <w:rPr>
                <w:sz w:val="20"/>
                <w:szCs w:val="20"/>
              </w:rPr>
              <w:t>или</w:t>
            </w:r>
            <w:r w:rsidR="0091241F">
              <w:rPr>
                <w:sz w:val="20"/>
                <w:szCs w:val="20"/>
              </w:rPr>
              <w:t xml:space="preserve"> </w:t>
            </w:r>
            <w:r w:rsidRPr="00C7563B">
              <w:rPr>
                <w:sz w:val="20"/>
                <w:szCs w:val="20"/>
              </w:rPr>
              <w:t>внести</w:t>
            </w:r>
            <w:r w:rsidR="0091241F">
              <w:rPr>
                <w:sz w:val="20"/>
                <w:szCs w:val="20"/>
              </w:rPr>
              <w:t xml:space="preserve"> соответствующие </w:t>
            </w:r>
            <w:r w:rsidRPr="00C7563B">
              <w:rPr>
                <w:sz w:val="20"/>
                <w:szCs w:val="20"/>
              </w:rPr>
              <w:t>изменения</w:t>
            </w:r>
            <w:r w:rsidR="0091241F">
              <w:rPr>
                <w:sz w:val="20"/>
                <w:szCs w:val="20"/>
              </w:rPr>
              <w:t xml:space="preserve"> </w:t>
            </w:r>
            <w:r w:rsidRPr="00C7563B">
              <w:rPr>
                <w:sz w:val="20"/>
                <w:szCs w:val="20"/>
              </w:rPr>
              <w:t>в</w:t>
            </w:r>
            <w:r w:rsidR="0091241F">
              <w:rPr>
                <w:sz w:val="20"/>
                <w:szCs w:val="20"/>
              </w:rPr>
              <w:t xml:space="preserve"> </w:t>
            </w:r>
            <w:r w:rsidRPr="00C7563B">
              <w:rPr>
                <w:sz w:val="20"/>
                <w:szCs w:val="20"/>
              </w:rPr>
              <w:t>действующую таксономию XBRL по указанной форме.</w:t>
            </w:r>
          </w:p>
        </w:tc>
        <w:tc>
          <w:tcPr>
            <w:tcW w:w="6161" w:type="dxa"/>
            <w:shd w:val="clear" w:color="auto" w:fill="auto"/>
          </w:tcPr>
          <w:p w:rsidR="00A7114F" w:rsidRPr="00A7114F" w:rsidRDefault="00050B13" w:rsidP="00A7114F">
            <w:pPr>
              <w:tabs>
                <w:tab w:val="left" w:pos="3760"/>
                <w:tab w:val="left" w:pos="6312"/>
              </w:tabs>
              <w:ind w:firstLine="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</w:t>
            </w:r>
            <w:r w:rsidR="00A7114F" w:rsidRPr="00A711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 приобретении ценной бумаги, оцениваемой впоследствии по справедливой стоимости через прочий совокупный доход</w:t>
            </w:r>
            <w:r w:rsidR="00906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A7114F" w:rsidRPr="00A711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долговой ценной бумаги, оцениваемой впоследствии по амортизированной стоимости, сумма дополнительных затрат по сделке</w:t>
            </w:r>
            <w:r w:rsidR="00906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A7114F" w:rsidRPr="00A711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включ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енная </w:t>
            </w:r>
            <w:r w:rsidRPr="00050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Положением Банка России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050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494-П </w:t>
            </w:r>
            <w:r w:rsidR="00A7114F" w:rsidRPr="00A711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стоимость приобретенных ценных бумаг, учитываемых по </w:t>
            </w:r>
            <w:r w:rsidR="00A7114F" w:rsidRPr="00A711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счету учета вложений в ценные бумаги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A7114F" w:rsidRPr="00A711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включается в показатель «Расходы на оплату услуг (вознаграждение) управляющей компании» раздела 1 отчетности по форме 0420253 «Оперативный отчет о деятельности негосударственного пенсионного фонда», установленной в приложении 1 к Указанию Банка России № 6796-У</w:t>
            </w:r>
            <w:r w:rsidR="002A6797">
              <w:rPr>
                <w:rStyle w:val="a6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30"/>
            </w:r>
            <w:r w:rsidR="00A7114F" w:rsidRPr="00A711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CE6642" w:rsidRDefault="00A7114F" w:rsidP="002A6797">
            <w:pPr>
              <w:tabs>
                <w:tab w:val="left" w:pos="3760"/>
                <w:tab w:val="left" w:pos="6312"/>
              </w:tabs>
              <w:ind w:firstLine="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11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случае если расходы, связанные с приобретением ценных бумаг за счет средств пенсионных резервов, не включены в стоимость таких ценных бумаг при их первоначальном признании (в том числе ценных бумаг, оцениваемых по справедливой стоимости через прибыль или убыток) и подлежат оплате управляющей компании, осуществляющей доверительное управление средствами пенсионных резервов,</w:t>
            </w:r>
            <w:r w:rsidR="009C3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</w:t>
            </w:r>
            <w:r w:rsidRPr="00A711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11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="00811F01" w:rsidRPr="00811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акие расходы подлежат отражению </w:t>
            </w:r>
            <w:r w:rsidR="00A20285" w:rsidRPr="00A711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составе </w:t>
            </w:r>
            <w:r w:rsidR="00811F01" w:rsidRPr="00811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показателя</w:t>
            </w:r>
            <w:r w:rsidR="00AB5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B515F" w:rsidRPr="00A711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«Расходы на оплату услуг (вознаграждение) управляющей компании» раздела 1 отчетности по форме 0420253 «Оперативный отчет о деятельности негосу</w:t>
            </w:r>
            <w:r w:rsidR="00AB5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дарственного пенсионного фонда».</w:t>
            </w:r>
            <w:r w:rsidR="00AB515F" w:rsidRPr="00A711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B97E43" w:rsidRPr="00B97E43" w:rsidRDefault="00B97E43" w:rsidP="002A6797">
            <w:pPr>
              <w:tabs>
                <w:tab w:val="left" w:pos="3760"/>
                <w:tab w:val="left" w:pos="6312"/>
              </w:tabs>
              <w:ind w:firstLine="426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97E4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!!! Уточнили ответ- в 253 форме в </w:t>
            </w:r>
            <w:proofErr w:type="gramStart"/>
            <w:r w:rsidRPr="00B97E4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графе  </w:t>
            </w:r>
            <w:r w:rsidRPr="00B97E43">
              <w:rPr>
                <w:color w:val="FF0000"/>
                <w:sz w:val="20"/>
                <w:szCs w:val="20"/>
              </w:rPr>
              <w:t>строки</w:t>
            </w:r>
            <w:proofErr w:type="gramEnd"/>
            <w:r w:rsidRPr="00B97E43">
              <w:rPr>
                <w:color w:val="FF0000"/>
                <w:sz w:val="20"/>
                <w:szCs w:val="20"/>
              </w:rPr>
              <w:t xml:space="preserve"> 19 «Расходы на оплату услуг (вознаграждение) управляющей компании»</w:t>
            </w:r>
            <w:r w:rsidRPr="00B97E43">
              <w:rPr>
                <w:color w:val="FF0000"/>
                <w:sz w:val="20"/>
                <w:szCs w:val="20"/>
              </w:rPr>
              <w:t xml:space="preserve"> отражаем ВУК и необходимые расходы по ЦБ</w:t>
            </w:r>
            <w:r>
              <w:rPr>
                <w:color w:val="FF0000"/>
                <w:sz w:val="20"/>
                <w:szCs w:val="20"/>
              </w:rPr>
              <w:t>, учит</w:t>
            </w:r>
            <w:r w:rsidRPr="00B97E43">
              <w:rPr>
                <w:color w:val="FF0000"/>
                <w:sz w:val="20"/>
                <w:szCs w:val="20"/>
              </w:rPr>
              <w:t xml:space="preserve"> по СС</w:t>
            </w:r>
            <w:r>
              <w:rPr>
                <w:color w:val="FF0000"/>
                <w:sz w:val="20"/>
                <w:szCs w:val="20"/>
              </w:rPr>
              <w:t xml:space="preserve"> через прибыль /ПСД</w:t>
            </w:r>
          </w:p>
          <w:p w:rsidR="009C26EA" w:rsidRPr="003B3B15" w:rsidRDefault="009C26EA" w:rsidP="002A6797">
            <w:pPr>
              <w:tabs>
                <w:tab w:val="left" w:pos="3760"/>
                <w:tab w:val="left" w:pos="6312"/>
              </w:tabs>
              <w:ind w:firstLine="426"/>
              <w:jc w:val="both"/>
              <w:rPr>
                <w:sz w:val="20"/>
                <w:szCs w:val="20"/>
              </w:rPr>
            </w:pPr>
          </w:p>
        </w:tc>
      </w:tr>
      <w:tr w:rsidR="004D008D" w:rsidRPr="00B64D91" w:rsidTr="009C121F">
        <w:tc>
          <w:tcPr>
            <w:tcW w:w="560" w:type="dxa"/>
            <w:shd w:val="clear" w:color="auto" w:fill="auto"/>
          </w:tcPr>
          <w:p w:rsidR="004D008D" w:rsidRPr="00B64D91" w:rsidRDefault="00C7563B" w:rsidP="009C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7940" w:type="dxa"/>
            <w:shd w:val="clear" w:color="auto" w:fill="auto"/>
          </w:tcPr>
          <w:p w:rsidR="004D008D" w:rsidRPr="00B64D91" w:rsidRDefault="00C7563B" w:rsidP="00C7563B">
            <w:pPr>
              <w:pStyle w:val="af4"/>
              <w:spacing w:before="0" w:beforeAutospacing="0" w:after="0" w:afterAutospacing="0"/>
              <w:ind w:firstLine="459"/>
              <w:jc w:val="both"/>
              <w:rPr>
                <w:sz w:val="20"/>
                <w:szCs w:val="20"/>
              </w:rPr>
            </w:pPr>
            <w:r w:rsidRPr="00C7563B">
              <w:rPr>
                <w:sz w:val="20"/>
                <w:szCs w:val="20"/>
              </w:rPr>
              <w:t>Прочим уточнить, какие денежные потоки НПФ отражаются по строке 3.1. «Прочие денежные потоки по договорам об обязательном пенсионном страховании, негосударственного пенсионного обеспечения и долгосрочных сбережений» «Отчета о движении денежных средств негосударственного пе</w:t>
            </w:r>
            <w:r w:rsidR="0091241F">
              <w:rPr>
                <w:sz w:val="20"/>
                <w:szCs w:val="20"/>
              </w:rPr>
              <w:t>нсионного фонда» (ОКУД 0420204)</w:t>
            </w:r>
            <w:r w:rsidRPr="00C7563B">
              <w:rPr>
                <w:sz w:val="20"/>
                <w:szCs w:val="20"/>
              </w:rPr>
              <w:t>?</w:t>
            </w:r>
          </w:p>
        </w:tc>
        <w:tc>
          <w:tcPr>
            <w:tcW w:w="6161" w:type="dxa"/>
            <w:shd w:val="clear" w:color="auto" w:fill="auto"/>
          </w:tcPr>
          <w:p w:rsidR="00BF246F" w:rsidRDefault="00CE4E3A" w:rsidP="009C121F">
            <w:pPr>
              <w:pStyle w:val="af4"/>
              <w:spacing w:before="0" w:beforeAutospacing="0" w:after="0" w:afterAutospacing="0" w:line="180" w:lineRule="atLeast"/>
              <w:ind w:firstLine="5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строке показателя</w:t>
            </w:r>
            <w:r w:rsidRPr="00D91E10">
              <w:rPr>
                <w:sz w:val="20"/>
                <w:szCs w:val="20"/>
              </w:rPr>
              <w:t xml:space="preserve"> «</w:t>
            </w:r>
            <w:r w:rsidRPr="004B34E3">
              <w:rPr>
                <w:sz w:val="20"/>
                <w:szCs w:val="20"/>
              </w:rPr>
              <w:t>Прочие денежные потоки по договорам об обязательном пенсионном страховании, негосударственного пенсионного обеспечения и долгосрочных сбережений</w:t>
            </w:r>
            <w:r w:rsidRPr="00D91E10"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t>о</w:t>
            </w:r>
            <w:r w:rsidRPr="004B34E3">
              <w:rPr>
                <w:sz w:val="20"/>
                <w:szCs w:val="20"/>
              </w:rPr>
              <w:t>тчет</w:t>
            </w:r>
            <w:r>
              <w:rPr>
                <w:sz w:val="20"/>
                <w:szCs w:val="20"/>
              </w:rPr>
              <w:t>а</w:t>
            </w:r>
            <w:r w:rsidRPr="004B34E3">
              <w:rPr>
                <w:sz w:val="20"/>
                <w:szCs w:val="20"/>
              </w:rPr>
              <w:t xml:space="preserve"> о движении денежных средств негосударственного пенсионного фонда</w:t>
            </w:r>
            <w:r>
              <w:rPr>
                <w:rStyle w:val="a6"/>
                <w:sz w:val="20"/>
                <w:szCs w:val="20"/>
              </w:rPr>
              <w:footnoteReference w:id="31"/>
            </w:r>
            <w:r>
              <w:rPr>
                <w:sz w:val="20"/>
                <w:szCs w:val="20"/>
              </w:rPr>
              <w:t xml:space="preserve"> (далее – Отчет)</w:t>
            </w:r>
            <w:r w:rsidRPr="00D91E1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 соответствии с Пояснениями к Отчету </w:t>
            </w:r>
            <w:r w:rsidRPr="00D91E10">
              <w:rPr>
                <w:sz w:val="20"/>
                <w:szCs w:val="20"/>
              </w:rPr>
              <w:t>раскрываются</w:t>
            </w:r>
            <w:r>
              <w:rPr>
                <w:sz w:val="20"/>
                <w:szCs w:val="20"/>
              </w:rPr>
              <w:t xml:space="preserve"> </w:t>
            </w:r>
            <w:r w:rsidRPr="004B34E3">
              <w:rPr>
                <w:sz w:val="20"/>
                <w:szCs w:val="20"/>
              </w:rPr>
              <w:t xml:space="preserve">суммы прочих фактически поступивших (фактически выплаченных) в отчетном периоде денежных средств и их эквивалентов по договорам </w:t>
            </w:r>
            <w:r w:rsidR="00906B90">
              <w:rPr>
                <w:sz w:val="20"/>
                <w:szCs w:val="20"/>
              </w:rPr>
              <w:t>ОПС</w:t>
            </w:r>
            <w:r w:rsidRPr="004B34E3">
              <w:rPr>
                <w:sz w:val="20"/>
                <w:szCs w:val="20"/>
              </w:rPr>
              <w:t xml:space="preserve">, </w:t>
            </w:r>
            <w:r w:rsidR="00906B90">
              <w:rPr>
                <w:sz w:val="20"/>
                <w:szCs w:val="20"/>
              </w:rPr>
              <w:t>НПО</w:t>
            </w:r>
            <w:r w:rsidRPr="004B34E3">
              <w:rPr>
                <w:sz w:val="20"/>
                <w:szCs w:val="20"/>
              </w:rPr>
              <w:t xml:space="preserve"> и </w:t>
            </w:r>
            <w:r w:rsidR="00906B90">
              <w:rPr>
                <w:sz w:val="20"/>
                <w:szCs w:val="20"/>
              </w:rPr>
              <w:t>ДС</w:t>
            </w:r>
            <w:r w:rsidRPr="00D91E10">
              <w:rPr>
                <w:sz w:val="20"/>
                <w:szCs w:val="20"/>
              </w:rPr>
              <w:t>, отличные от</w:t>
            </w:r>
            <w:r>
              <w:rPr>
                <w:sz w:val="20"/>
                <w:szCs w:val="20"/>
              </w:rPr>
              <w:t xml:space="preserve"> </w:t>
            </w:r>
            <w:r w:rsidRPr="00D91E10">
              <w:rPr>
                <w:sz w:val="20"/>
                <w:szCs w:val="20"/>
              </w:rPr>
              <w:t xml:space="preserve">включенных в другие показатели </w:t>
            </w:r>
            <w:r>
              <w:rPr>
                <w:sz w:val="20"/>
                <w:szCs w:val="20"/>
              </w:rPr>
              <w:t>Отчета</w:t>
            </w:r>
            <w:r w:rsidRPr="00D91E10">
              <w:rPr>
                <w:sz w:val="20"/>
                <w:szCs w:val="20"/>
              </w:rPr>
              <w:t>.</w:t>
            </w:r>
          </w:p>
          <w:p w:rsidR="00B97E43" w:rsidRDefault="00B97E43" w:rsidP="009C121F">
            <w:pPr>
              <w:pStyle w:val="af4"/>
              <w:spacing w:before="0" w:beforeAutospacing="0" w:after="0" w:afterAutospacing="0" w:line="180" w:lineRule="atLeast"/>
              <w:ind w:firstLine="540"/>
              <w:jc w:val="both"/>
              <w:rPr>
                <w:sz w:val="20"/>
                <w:szCs w:val="20"/>
              </w:rPr>
            </w:pPr>
            <w:r w:rsidRPr="00B97E43">
              <w:rPr>
                <w:color w:val="FF0000"/>
                <w:sz w:val="20"/>
                <w:szCs w:val="20"/>
              </w:rPr>
              <w:t>Конкретики нет</w:t>
            </w:r>
          </w:p>
          <w:p w:rsidR="00CE4E3A" w:rsidRPr="00B64D91" w:rsidRDefault="00CE4E3A" w:rsidP="009C121F">
            <w:pPr>
              <w:pStyle w:val="af4"/>
              <w:spacing w:before="0" w:beforeAutospacing="0" w:after="0" w:afterAutospacing="0" w:line="180" w:lineRule="atLeast"/>
              <w:ind w:firstLine="540"/>
              <w:jc w:val="both"/>
              <w:rPr>
                <w:sz w:val="20"/>
                <w:szCs w:val="20"/>
              </w:rPr>
            </w:pPr>
          </w:p>
        </w:tc>
      </w:tr>
      <w:tr w:rsidR="004D008D" w:rsidRPr="00B64D91" w:rsidTr="00CE4E3A">
        <w:tc>
          <w:tcPr>
            <w:tcW w:w="560" w:type="dxa"/>
            <w:shd w:val="clear" w:color="auto" w:fill="auto"/>
          </w:tcPr>
          <w:p w:rsidR="004D008D" w:rsidRPr="00B64D91" w:rsidRDefault="00C7563B" w:rsidP="009C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940" w:type="dxa"/>
            <w:shd w:val="clear" w:color="auto" w:fill="auto"/>
          </w:tcPr>
          <w:p w:rsidR="00C7563B" w:rsidRPr="00C7563B" w:rsidRDefault="00C7563B" w:rsidP="00213FCB">
            <w:pPr>
              <w:pStyle w:val="af4"/>
              <w:spacing w:before="0" w:beforeAutospacing="0" w:after="0" w:afterAutospacing="0"/>
              <w:ind w:firstLine="459"/>
              <w:jc w:val="both"/>
              <w:rPr>
                <w:sz w:val="20"/>
                <w:szCs w:val="20"/>
              </w:rPr>
            </w:pPr>
            <w:r w:rsidRPr="00C7563B">
              <w:rPr>
                <w:sz w:val="20"/>
                <w:szCs w:val="20"/>
              </w:rPr>
              <w:t>Просим уточнить, по к</w:t>
            </w:r>
            <w:r w:rsidR="0091241F">
              <w:rPr>
                <w:sz w:val="20"/>
                <w:szCs w:val="20"/>
              </w:rPr>
              <w:t xml:space="preserve">аким строкам «Отчета о движении </w:t>
            </w:r>
            <w:r w:rsidRPr="00C7563B">
              <w:rPr>
                <w:sz w:val="20"/>
                <w:szCs w:val="20"/>
              </w:rPr>
              <w:t>денежных</w:t>
            </w:r>
            <w:r w:rsidRPr="00C7563B">
              <w:rPr>
                <w:sz w:val="20"/>
                <w:szCs w:val="20"/>
              </w:rPr>
              <w:tab/>
              <w:t>средств</w:t>
            </w:r>
            <w:r w:rsidR="0091241F">
              <w:rPr>
                <w:sz w:val="20"/>
                <w:szCs w:val="20"/>
              </w:rPr>
              <w:t xml:space="preserve"> </w:t>
            </w:r>
            <w:r w:rsidRPr="00C7563B">
              <w:rPr>
                <w:sz w:val="20"/>
                <w:szCs w:val="20"/>
              </w:rPr>
              <w:t>негосударственного пенсионного фонда» (ОКУД 0420204) отражаются:</w:t>
            </w:r>
          </w:p>
          <w:p w:rsidR="00C7563B" w:rsidRPr="00C7563B" w:rsidRDefault="00C7563B" w:rsidP="00213FCB">
            <w:pPr>
              <w:pStyle w:val="af4"/>
              <w:spacing w:before="0" w:beforeAutospacing="0" w:after="0" w:afterAutospacing="0"/>
              <w:ind w:firstLine="459"/>
              <w:jc w:val="both"/>
              <w:rPr>
                <w:sz w:val="20"/>
                <w:szCs w:val="20"/>
              </w:rPr>
            </w:pPr>
            <w:r w:rsidRPr="00C7563B">
              <w:rPr>
                <w:sz w:val="20"/>
                <w:szCs w:val="20"/>
              </w:rPr>
              <w:t>единовременный взнос по договорам ДС, направляемый из ПН в ПР в случае перечисления денежными средствами;</w:t>
            </w:r>
          </w:p>
          <w:p w:rsidR="00C7563B" w:rsidRPr="00C7563B" w:rsidRDefault="00C7563B" w:rsidP="00213FCB">
            <w:pPr>
              <w:pStyle w:val="af4"/>
              <w:spacing w:before="0" w:beforeAutospacing="0" w:after="0" w:afterAutospacing="0"/>
              <w:ind w:firstLine="459"/>
              <w:jc w:val="both"/>
              <w:rPr>
                <w:sz w:val="20"/>
                <w:szCs w:val="20"/>
              </w:rPr>
            </w:pPr>
            <w:r w:rsidRPr="00C7563B">
              <w:rPr>
                <w:sz w:val="20"/>
                <w:szCs w:val="20"/>
              </w:rPr>
              <w:lastRenderedPageBreak/>
              <w:t>часть РОПС, направляемая в СР по данным договорам ДС, в случае перечисления денежными средствами;</w:t>
            </w:r>
          </w:p>
          <w:p w:rsidR="004D008D" w:rsidRPr="00B64D91" w:rsidRDefault="00C7563B" w:rsidP="00213FCB">
            <w:pPr>
              <w:pStyle w:val="af4"/>
              <w:spacing w:before="0" w:beforeAutospacing="0" w:after="0" w:afterAutospacing="0"/>
              <w:ind w:firstLine="459"/>
              <w:jc w:val="both"/>
              <w:rPr>
                <w:sz w:val="20"/>
                <w:szCs w:val="20"/>
              </w:rPr>
            </w:pPr>
            <w:r w:rsidRPr="00C7563B">
              <w:rPr>
                <w:sz w:val="20"/>
                <w:szCs w:val="20"/>
              </w:rPr>
              <w:t>дополнительный стимулирующий взнос, полученный по договорам ПДС?</w:t>
            </w:r>
          </w:p>
        </w:tc>
        <w:tc>
          <w:tcPr>
            <w:tcW w:w="6161" w:type="dxa"/>
            <w:shd w:val="clear" w:color="auto" w:fill="auto"/>
          </w:tcPr>
          <w:p w:rsidR="00CE4E3A" w:rsidRDefault="00CE4E3A" w:rsidP="00CE4E3A">
            <w:pPr>
              <w:ind w:firstLine="53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</w:t>
            </w:r>
            <w:r w:rsidRPr="00706D4F">
              <w:rPr>
                <w:rFonts w:ascii="Times New Roman" w:hAnsi="Times New Roman" w:cs="Times New Roman"/>
                <w:sz w:val="20"/>
                <w:szCs w:val="20"/>
              </w:rPr>
              <w:t xml:space="preserve">ередача денежных средств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 пенсионных накоплений в пенсионные резервы и из резерва </w:t>
            </w:r>
            <w:r w:rsidRPr="00855F58">
              <w:rPr>
                <w:rFonts w:ascii="Times New Roman" w:hAnsi="Times New Roman" w:cs="Times New Roman"/>
                <w:sz w:val="20"/>
                <w:szCs w:val="20"/>
              </w:rPr>
              <w:t>по обязательному пенсионному страхованию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страховой резерв</w:t>
            </w:r>
            <w:r w:rsidRPr="00706D4F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Отчете</w:t>
            </w:r>
            <w:r w:rsidRPr="00706D4F">
              <w:rPr>
                <w:rFonts w:ascii="Times New Roman" w:hAnsi="Times New Roman" w:cs="Times New Roman"/>
                <w:sz w:val="20"/>
                <w:szCs w:val="20"/>
              </w:rPr>
              <w:t xml:space="preserve"> не отражается, поскольку в соответствии с пунктом 9 МСФО (IAS) 7</w:t>
            </w:r>
            <w:r>
              <w:rPr>
                <w:rStyle w:val="a6"/>
                <w:rFonts w:ascii="Times New Roman" w:hAnsi="Times New Roman" w:cs="Times New Roman"/>
                <w:sz w:val="20"/>
                <w:szCs w:val="20"/>
              </w:rPr>
              <w:footnoteReference w:id="32"/>
            </w:r>
            <w:r w:rsidRPr="00706D4F">
              <w:rPr>
                <w:rFonts w:ascii="Times New Roman" w:hAnsi="Times New Roman" w:cs="Times New Roman"/>
                <w:sz w:val="20"/>
                <w:szCs w:val="20"/>
              </w:rPr>
              <w:t xml:space="preserve"> денежные потоки не </w:t>
            </w:r>
            <w:r w:rsidRPr="00706D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включают обороты </w:t>
            </w:r>
            <w:r w:rsidR="0001408B">
              <w:rPr>
                <w:rFonts w:ascii="Times New Roman" w:hAnsi="Times New Roman" w:cs="Times New Roman"/>
                <w:sz w:val="20"/>
                <w:szCs w:val="20"/>
              </w:rPr>
              <w:t xml:space="preserve">внутри фонда </w:t>
            </w:r>
            <w:r w:rsidRPr="00706D4F">
              <w:rPr>
                <w:rFonts w:ascii="Times New Roman" w:hAnsi="Times New Roman" w:cs="Times New Roman"/>
                <w:sz w:val="20"/>
                <w:szCs w:val="20"/>
              </w:rPr>
              <w:t>между статьями денежных средств и их эквивалентов.</w:t>
            </w:r>
          </w:p>
          <w:p w:rsidR="0075528F" w:rsidRDefault="00CE4E3A" w:rsidP="00CE4E3A">
            <w:pPr>
              <w:ind w:firstLine="53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55F58">
              <w:rPr>
                <w:rFonts w:ascii="Times New Roman" w:hAnsi="Times New Roman" w:cs="Times New Roman"/>
                <w:sz w:val="20"/>
                <w:szCs w:val="20"/>
              </w:rPr>
              <w:t xml:space="preserve">умма фактически полученных в отчетном периоде взносов по группам договоров </w:t>
            </w:r>
            <w:r w:rsidR="00906B90">
              <w:rPr>
                <w:rFonts w:ascii="Times New Roman" w:hAnsi="Times New Roman" w:cs="Times New Roman"/>
                <w:sz w:val="20"/>
                <w:szCs w:val="20"/>
              </w:rPr>
              <w:t>ДС</w:t>
            </w:r>
            <w:r>
              <w:t xml:space="preserve"> </w:t>
            </w:r>
            <w:r w:rsidRPr="00855F58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855F58">
              <w:rPr>
                <w:rFonts w:ascii="Times New Roman" w:hAnsi="Times New Roman" w:cs="Times New Roman"/>
                <w:sz w:val="20"/>
                <w:szCs w:val="20"/>
              </w:rPr>
              <w:t>ояснениями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 Отчету отражается по </w:t>
            </w:r>
            <w:r w:rsidRPr="00855F58">
              <w:rPr>
                <w:rFonts w:ascii="Times New Roman" w:hAnsi="Times New Roman" w:cs="Times New Roman"/>
                <w:sz w:val="20"/>
                <w:szCs w:val="20"/>
              </w:rPr>
              <w:t>строке показателя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Отчета.</w:t>
            </w:r>
            <w:r w:rsidR="00C451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45127" w:rsidRPr="00D75B01" w:rsidRDefault="00C45127" w:rsidP="00CE4E3A">
            <w:pPr>
              <w:ind w:firstLine="539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5B0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Мы предполагали, что перевод </w:t>
            </w:r>
            <w:proofErr w:type="spellStart"/>
            <w:r w:rsidRPr="00D75B0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единовр</w:t>
            </w:r>
            <w:proofErr w:type="spellEnd"/>
            <w:r w:rsidRPr="00D75B0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 взноса может учитываться в пенс. взносах и выплатах (как например, в НСО), но из ответа следует, что мы показывает нетто-эффект (если деньги, то 0)</w:t>
            </w:r>
          </w:p>
          <w:p w:rsidR="00CE4E3A" w:rsidRPr="00B64D91" w:rsidRDefault="00CE4E3A" w:rsidP="00CE4E3A">
            <w:pPr>
              <w:ind w:firstLine="53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57E2C" w:rsidRDefault="00C57E2C"/>
    <w:sectPr w:rsidR="00C57E2C" w:rsidSect="00805198">
      <w:footerReference w:type="default" r:id="rId9"/>
      <w:pgSz w:w="16838" w:h="11906" w:orient="landscape"/>
      <w:pgMar w:top="1135" w:right="1134" w:bottom="993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1A9" w:rsidRDefault="00C931A9" w:rsidP="00190200">
      <w:pPr>
        <w:spacing w:after="0" w:line="240" w:lineRule="auto"/>
      </w:pPr>
      <w:r>
        <w:separator/>
      </w:r>
    </w:p>
  </w:endnote>
  <w:endnote w:type="continuationSeparator" w:id="0">
    <w:p w:rsidR="00C931A9" w:rsidRDefault="00C931A9" w:rsidP="00190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662616"/>
      <w:docPartObj>
        <w:docPartGallery w:val="Page Numbers (Bottom of Page)"/>
        <w:docPartUnique/>
      </w:docPartObj>
    </w:sdtPr>
    <w:sdtEndPr/>
    <w:sdtContent>
      <w:p w:rsidR="006F43D9" w:rsidRDefault="006F43D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43E4" w:rsidRPr="00C243E4">
          <w:rPr>
            <w:noProof/>
            <w:lang w:val="ru-RU"/>
          </w:rPr>
          <w:t>3</w:t>
        </w:r>
        <w:r>
          <w:fldChar w:fldCharType="end"/>
        </w:r>
      </w:p>
    </w:sdtContent>
  </w:sdt>
  <w:p w:rsidR="006F43D9" w:rsidRDefault="006F43D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1A9" w:rsidRDefault="00C931A9" w:rsidP="00190200">
      <w:pPr>
        <w:spacing w:after="0" w:line="240" w:lineRule="auto"/>
      </w:pPr>
      <w:r>
        <w:separator/>
      </w:r>
    </w:p>
  </w:footnote>
  <w:footnote w:type="continuationSeparator" w:id="0">
    <w:p w:rsidR="00C931A9" w:rsidRDefault="00C931A9" w:rsidP="00190200">
      <w:pPr>
        <w:spacing w:after="0" w:line="240" w:lineRule="auto"/>
      </w:pPr>
      <w:r>
        <w:continuationSeparator/>
      </w:r>
    </w:p>
  </w:footnote>
  <w:footnote w:id="1">
    <w:p w:rsidR="006F43D9" w:rsidRPr="00AC0C24" w:rsidRDefault="006F43D9" w:rsidP="00906B90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r w:rsidRPr="00AC0C24">
        <w:rPr>
          <w:rStyle w:val="a6"/>
          <w:rFonts w:ascii="Times New Roman" w:hAnsi="Times New Roman" w:cs="Times New Roman"/>
          <w:sz w:val="18"/>
          <w:szCs w:val="18"/>
        </w:rPr>
        <w:footnoteRef/>
      </w:r>
      <w:r w:rsidRPr="00AC0C24">
        <w:rPr>
          <w:rFonts w:ascii="Times New Roman" w:hAnsi="Times New Roman" w:cs="Times New Roman"/>
          <w:sz w:val="18"/>
          <w:szCs w:val="18"/>
        </w:rPr>
        <w:t xml:space="preserve"> Обязательное пенсионное страхование.</w:t>
      </w:r>
    </w:p>
  </w:footnote>
  <w:footnote w:id="2">
    <w:p w:rsidR="006F43D9" w:rsidRPr="00906B90" w:rsidRDefault="006F43D9" w:rsidP="00906B90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r w:rsidRPr="00AC0C24">
        <w:rPr>
          <w:rStyle w:val="a6"/>
          <w:rFonts w:ascii="Times New Roman" w:hAnsi="Times New Roman" w:cs="Times New Roman"/>
          <w:sz w:val="18"/>
          <w:szCs w:val="18"/>
        </w:rPr>
        <w:footnoteRef/>
      </w:r>
      <w:r w:rsidRPr="00AC0C24">
        <w:rPr>
          <w:rFonts w:ascii="Times New Roman" w:hAnsi="Times New Roman" w:cs="Times New Roman"/>
          <w:sz w:val="18"/>
          <w:szCs w:val="18"/>
        </w:rPr>
        <w:t xml:space="preserve"> Негосударственное</w:t>
      </w:r>
      <w:r w:rsidRPr="00906B90">
        <w:rPr>
          <w:rFonts w:ascii="Times New Roman" w:hAnsi="Times New Roman" w:cs="Times New Roman"/>
          <w:sz w:val="18"/>
          <w:szCs w:val="18"/>
        </w:rPr>
        <w:t xml:space="preserve"> пенсионное обеспечение.</w:t>
      </w:r>
    </w:p>
  </w:footnote>
  <w:footnote w:id="3">
    <w:p w:rsidR="006F43D9" w:rsidRPr="00906B90" w:rsidRDefault="006F43D9" w:rsidP="00906B90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r w:rsidRPr="00906B90">
        <w:rPr>
          <w:rStyle w:val="a6"/>
          <w:rFonts w:ascii="Times New Roman" w:hAnsi="Times New Roman" w:cs="Times New Roman"/>
          <w:sz w:val="18"/>
          <w:szCs w:val="18"/>
        </w:rPr>
        <w:footnoteRef/>
      </w:r>
      <w:r w:rsidRPr="00906B90">
        <w:rPr>
          <w:rFonts w:ascii="Times New Roman" w:hAnsi="Times New Roman" w:cs="Times New Roman"/>
          <w:sz w:val="18"/>
          <w:szCs w:val="18"/>
        </w:rPr>
        <w:t xml:space="preserve"> Долгосрочные сбережения.</w:t>
      </w:r>
    </w:p>
  </w:footnote>
  <w:footnote w:id="4">
    <w:p w:rsidR="003E158D" w:rsidRPr="00906B90" w:rsidRDefault="003E158D" w:rsidP="00906B90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r w:rsidRPr="00906B90">
        <w:rPr>
          <w:rStyle w:val="a6"/>
          <w:rFonts w:ascii="Times New Roman" w:hAnsi="Times New Roman" w:cs="Times New Roman"/>
          <w:sz w:val="18"/>
          <w:szCs w:val="18"/>
        </w:rPr>
        <w:footnoteRef/>
      </w:r>
      <w:r w:rsidRPr="00906B90">
        <w:rPr>
          <w:rFonts w:ascii="Times New Roman" w:hAnsi="Times New Roman" w:cs="Times New Roman"/>
          <w:sz w:val="18"/>
          <w:szCs w:val="18"/>
        </w:rPr>
        <w:t xml:space="preserve"> Положение Банка России от 23.09.2021 № 773-П «О порядке отражения на счетах бухгалтерского учета негосударственными пенсионными фондами договоров об обязательном пенсионном страховании».</w:t>
      </w:r>
    </w:p>
  </w:footnote>
  <w:footnote w:id="5">
    <w:p w:rsidR="003E158D" w:rsidRPr="00906B90" w:rsidRDefault="003E158D" w:rsidP="00906B90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r w:rsidRPr="00906B90">
        <w:rPr>
          <w:rStyle w:val="a6"/>
          <w:rFonts w:ascii="Times New Roman" w:hAnsi="Times New Roman" w:cs="Times New Roman"/>
          <w:sz w:val="18"/>
          <w:szCs w:val="18"/>
        </w:rPr>
        <w:footnoteRef/>
      </w:r>
      <w:r w:rsidRPr="00906B90">
        <w:rPr>
          <w:rFonts w:ascii="Times New Roman" w:hAnsi="Times New Roman" w:cs="Times New Roman"/>
          <w:sz w:val="18"/>
          <w:szCs w:val="18"/>
        </w:rPr>
        <w:t xml:space="preserve"> Положение Банка России от 23.09.2021 № 776-П «О порядке отражения на счетах бухгалтерского учета негосударственными пенсионными фондами договоров негосударственного пенсионного обеспечения».</w:t>
      </w:r>
    </w:p>
  </w:footnote>
  <w:footnote w:id="6">
    <w:p w:rsidR="00E62B41" w:rsidRPr="00906B90" w:rsidRDefault="00E62B41" w:rsidP="00906B90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r w:rsidRPr="00906B90">
        <w:rPr>
          <w:rStyle w:val="a6"/>
          <w:rFonts w:ascii="Times New Roman" w:hAnsi="Times New Roman" w:cs="Times New Roman"/>
          <w:sz w:val="18"/>
          <w:szCs w:val="18"/>
        </w:rPr>
        <w:footnoteRef/>
      </w:r>
      <w:r w:rsidRPr="00906B90">
        <w:rPr>
          <w:rFonts w:ascii="Times New Roman" w:hAnsi="Times New Roman" w:cs="Times New Roman"/>
          <w:sz w:val="18"/>
          <w:szCs w:val="18"/>
        </w:rPr>
        <w:t xml:space="preserve"> Положение Банка России от 21.05.2024 № 838-П «О порядке отражения на счетах бухгалтерского учета негосударственными пенсионными фондами договоров долгосрочных сбережений».</w:t>
      </w:r>
    </w:p>
  </w:footnote>
  <w:footnote w:id="7">
    <w:p w:rsidR="003E158D" w:rsidRPr="00906B90" w:rsidRDefault="003E158D" w:rsidP="00906B90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r w:rsidRPr="00906B90">
        <w:rPr>
          <w:rStyle w:val="a6"/>
          <w:rFonts w:ascii="Times New Roman" w:hAnsi="Times New Roman" w:cs="Times New Roman"/>
          <w:sz w:val="18"/>
          <w:szCs w:val="18"/>
        </w:rPr>
        <w:footnoteRef/>
      </w:r>
      <w:r w:rsidRPr="00906B90">
        <w:rPr>
          <w:rFonts w:ascii="Times New Roman" w:hAnsi="Times New Roman" w:cs="Times New Roman"/>
          <w:sz w:val="18"/>
          <w:szCs w:val="18"/>
        </w:rPr>
        <w:t xml:space="preserve"> Международный стандарт финансовой отчетности (</w:t>
      </w:r>
      <w:r w:rsidRPr="00906B90">
        <w:rPr>
          <w:rFonts w:ascii="Times New Roman" w:hAnsi="Times New Roman" w:cs="Times New Roman"/>
          <w:sz w:val="18"/>
          <w:szCs w:val="18"/>
          <w:lang w:bidi="en-US"/>
        </w:rPr>
        <w:t>IFRS</w:t>
      </w:r>
      <w:r w:rsidRPr="00906B90">
        <w:rPr>
          <w:rFonts w:ascii="Times New Roman" w:hAnsi="Times New Roman" w:cs="Times New Roman"/>
          <w:sz w:val="18"/>
          <w:szCs w:val="18"/>
        </w:rPr>
        <w:t>) 17 «Договоры страхования».</w:t>
      </w:r>
    </w:p>
  </w:footnote>
  <w:footnote w:id="8">
    <w:p w:rsidR="00130A9C" w:rsidRPr="00906B90" w:rsidRDefault="00130A9C" w:rsidP="00906B90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r w:rsidRPr="00906B90">
        <w:rPr>
          <w:rStyle w:val="a6"/>
          <w:rFonts w:ascii="Times New Roman" w:hAnsi="Times New Roman" w:cs="Times New Roman"/>
          <w:sz w:val="18"/>
          <w:szCs w:val="18"/>
        </w:rPr>
        <w:footnoteRef/>
      </w:r>
      <w:r w:rsidRPr="00906B90">
        <w:rPr>
          <w:rFonts w:ascii="Times New Roman" w:hAnsi="Times New Roman" w:cs="Times New Roman"/>
          <w:sz w:val="18"/>
          <w:szCs w:val="18"/>
        </w:rPr>
        <w:t xml:space="preserve"> Международные стандарты финансовой отчетности.</w:t>
      </w:r>
    </w:p>
  </w:footnote>
  <w:footnote w:id="9">
    <w:p w:rsidR="003718B5" w:rsidRPr="00906B90" w:rsidRDefault="003718B5" w:rsidP="00906B90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r w:rsidRPr="00906B90">
        <w:rPr>
          <w:rStyle w:val="a6"/>
          <w:rFonts w:ascii="Times New Roman" w:hAnsi="Times New Roman" w:cs="Times New Roman"/>
          <w:sz w:val="18"/>
          <w:szCs w:val="18"/>
        </w:rPr>
        <w:footnoteRef/>
      </w:r>
      <w:r w:rsidRPr="00906B90">
        <w:rPr>
          <w:rFonts w:ascii="Times New Roman" w:hAnsi="Times New Roman" w:cs="Times New Roman"/>
          <w:sz w:val="18"/>
          <w:szCs w:val="18"/>
        </w:rPr>
        <w:t xml:space="preserve"> </w:t>
      </w:r>
      <w:r w:rsidRPr="00906B90">
        <w:rPr>
          <w:rFonts w:ascii="Times New Roman" w:hAnsi="Times New Roman" w:cs="Times New Roman"/>
          <w:color w:val="000000"/>
          <w:sz w:val="18"/>
          <w:szCs w:val="18"/>
          <w:lang w:eastAsia="ru-RU" w:bidi="ru-RU"/>
        </w:rPr>
        <w:t>Постановление Правительства Российской Федерации от 25</w:t>
      </w:r>
      <w:r w:rsidR="00B507AB" w:rsidRPr="00906B90">
        <w:rPr>
          <w:rFonts w:ascii="Times New Roman" w:hAnsi="Times New Roman" w:cs="Times New Roman"/>
          <w:color w:val="000000"/>
          <w:sz w:val="18"/>
          <w:szCs w:val="18"/>
          <w:lang w:eastAsia="ru-RU" w:bidi="ru-RU"/>
        </w:rPr>
        <w:t>.02.</w:t>
      </w:r>
      <w:r w:rsidRPr="00906B90">
        <w:rPr>
          <w:rFonts w:ascii="Times New Roman" w:hAnsi="Times New Roman" w:cs="Times New Roman"/>
          <w:color w:val="000000"/>
          <w:sz w:val="18"/>
          <w:szCs w:val="18"/>
          <w:lang w:eastAsia="ru-RU" w:bidi="ru-RU"/>
        </w:rPr>
        <w:t xml:space="preserve">2011 </w:t>
      </w:r>
      <w:r w:rsidR="00D712B3">
        <w:rPr>
          <w:rFonts w:ascii="Times New Roman" w:hAnsi="Times New Roman" w:cs="Times New Roman"/>
          <w:color w:val="000000"/>
          <w:sz w:val="18"/>
          <w:szCs w:val="18"/>
          <w:lang w:eastAsia="ru-RU" w:bidi="ru-RU"/>
        </w:rPr>
        <w:t xml:space="preserve">№ 107 </w:t>
      </w:r>
      <w:r w:rsidRPr="00906B90">
        <w:rPr>
          <w:rFonts w:ascii="Times New Roman" w:hAnsi="Times New Roman" w:cs="Times New Roman"/>
          <w:color w:val="000000"/>
          <w:sz w:val="18"/>
          <w:szCs w:val="18"/>
          <w:lang w:eastAsia="ru-RU" w:bidi="ru-RU"/>
        </w:rPr>
        <w:t>«Об утверждении Положения о признании Международных стандартов финансовой отчетности и Разъяснений Международных стандартов финансовой отчетности для применения на территории Российской Федерации».</w:t>
      </w:r>
    </w:p>
  </w:footnote>
  <w:footnote w:id="10">
    <w:p w:rsidR="00A47E05" w:rsidRPr="00906B90" w:rsidRDefault="00A47E05" w:rsidP="00906B90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r w:rsidRPr="00906B90">
        <w:rPr>
          <w:rStyle w:val="a6"/>
          <w:rFonts w:ascii="Times New Roman" w:hAnsi="Times New Roman" w:cs="Times New Roman"/>
          <w:sz w:val="18"/>
          <w:szCs w:val="18"/>
        </w:rPr>
        <w:footnoteRef/>
      </w:r>
      <w:r w:rsidRPr="00906B90">
        <w:rPr>
          <w:rFonts w:ascii="Times New Roman" w:hAnsi="Times New Roman" w:cs="Times New Roman"/>
          <w:sz w:val="18"/>
          <w:szCs w:val="18"/>
        </w:rPr>
        <w:t xml:space="preserve"> Федеральный закон от 06.12.2011 № 402-ФЗ «О бухгалтерском учете».</w:t>
      </w:r>
    </w:p>
  </w:footnote>
  <w:footnote w:id="11">
    <w:p w:rsidR="00A47E05" w:rsidRPr="00906B90" w:rsidRDefault="00A47E05" w:rsidP="00906B90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r w:rsidRPr="00906B90">
        <w:rPr>
          <w:rStyle w:val="a6"/>
          <w:rFonts w:ascii="Times New Roman" w:hAnsi="Times New Roman" w:cs="Times New Roman"/>
          <w:sz w:val="18"/>
          <w:szCs w:val="18"/>
        </w:rPr>
        <w:footnoteRef/>
      </w:r>
      <w:r w:rsidRPr="00906B90">
        <w:rPr>
          <w:rFonts w:ascii="Times New Roman" w:hAnsi="Times New Roman" w:cs="Times New Roman"/>
          <w:sz w:val="18"/>
          <w:szCs w:val="18"/>
        </w:rPr>
        <w:t xml:space="preserve"> Федеральный закон от 27.07.2010 № 208-ФЗ «О консолидированной финансовой отчетности».</w:t>
      </w:r>
    </w:p>
  </w:footnote>
  <w:footnote w:id="12">
    <w:p w:rsidR="008F72B2" w:rsidRPr="005008A1" w:rsidRDefault="008F72B2" w:rsidP="008F72B2">
      <w:pPr>
        <w:pStyle w:val="a4"/>
        <w:rPr>
          <w:rFonts w:ascii="Times New Roman" w:hAnsi="Times New Roman" w:cs="Times New Roman"/>
          <w:sz w:val="18"/>
          <w:szCs w:val="18"/>
        </w:rPr>
      </w:pPr>
      <w:r w:rsidRPr="005008A1">
        <w:rPr>
          <w:rStyle w:val="a6"/>
          <w:rFonts w:ascii="Times New Roman" w:hAnsi="Times New Roman" w:cs="Times New Roman"/>
          <w:sz w:val="18"/>
          <w:szCs w:val="18"/>
        </w:rPr>
        <w:footnoteRef/>
      </w:r>
      <w:r w:rsidRPr="005008A1">
        <w:rPr>
          <w:rFonts w:ascii="Times New Roman" w:hAnsi="Times New Roman" w:cs="Times New Roman"/>
          <w:sz w:val="18"/>
          <w:szCs w:val="18"/>
        </w:rPr>
        <w:t xml:space="preserve"> Российские стандарты бухгалтерского учета.</w:t>
      </w:r>
    </w:p>
  </w:footnote>
  <w:footnote w:id="13">
    <w:p w:rsidR="00A43942" w:rsidRPr="00AC0C24" w:rsidRDefault="00A43942" w:rsidP="00906B90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r w:rsidRPr="00AC0C24">
        <w:rPr>
          <w:rStyle w:val="a6"/>
          <w:rFonts w:ascii="Times New Roman" w:hAnsi="Times New Roman" w:cs="Times New Roman"/>
          <w:sz w:val="18"/>
          <w:szCs w:val="18"/>
        </w:rPr>
        <w:footnoteRef/>
      </w:r>
      <w:r w:rsidRPr="00AC0C24">
        <w:rPr>
          <w:rFonts w:ascii="Times New Roman" w:hAnsi="Times New Roman" w:cs="Times New Roman"/>
          <w:sz w:val="18"/>
          <w:szCs w:val="18"/>
        </w:rPr>
        <w:t xml:space="preserve"> </w:t>
      </w:r>
      <w:r w:rsidR="002B2B25" w:rsidRPr="00AC0C24">
        <w:rPr>
          <w:rFonts w:ascii="Times New Roman" w:hAnsi="Times New Roman" w:cs="Times New Roman"/>
          <w:sz w:val="18"/>
          <w:szCs w:val="18"/>
        </w:rPr>
        <w:t>Резерв покрытия пенсионных обязательств.</w:t>
      </w:r>
    </w:p>
  </w:footnote>
  <w:footnote w:id="14">
    <w:p w:rsidR="00A43942" w:rsidRPr="00906B90" w:rsidRDefault="00A43942" w:rsidP="00906B90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r w:rsidRPr="00AC0C24">
        <w:rPr>
          <w:rStyle w:val="a6"/>
          <w:rFonts w:ascii="Times New Roman" w:hAnsi="Times New Roman" w:cs="Times New Roman"/>
          <w:sz w:val="18"/>
          <w:szCs w:val="18"/>
        </w:rPr>
        <w:footnoteRef/>
      </w:r>
      <w:r w:rsidRPr="00AC0C24">
        <w:rPr>
          <w:rFonts w:ascii="Times New Roman" w:hAnsi="Times New Roman" w:cs="Times New Roman"/>
          <w:sz w:val="18"/>
          <w:szCs w:val="18"/>
        </w:rPr>
        <w:t xml:space="preserve"> </w:t>
      </w:r>
      <w:r w:rsidR="002B2B25" w:rsidRPr="00AC0C24">
        <w:rPr>
          <w:rFonts w:ascii="Times New Roman" w:hAnsi="Times New Roman" w:cs="Times New Roman"/>
          <w:sz w:val="18"/>
          <w:szCs w:val="18"/>
        </w:rPr>
        <w:t>Обязательств</w:t>
      </w:r>
      <w:r w:rsidR="00A4229A" w:rsidRPr="00AC0C24">
        <w:rPr>
          <w:rFonts w:ascii="Times New Roman" w:hAnsi="Times New Roman" w:cs="Times New Roman"/>
          <w:sz w:val="18"/>
          <w:szCs w:val="18"/>
        </w:rPr>
        <w:t>о</w:t>
      </w:r>
      <w:r w:rsidR="002B2B25" w:rsidRPr="00AC0C24">
        <w:rPr>
          <w:rFonts w:ascii="Times New Roman" w:hAnsi="Times New Roman" w:cs="Times New Roman"/>
          <w:sz w:val="18"/>
          <w:szCs w:val="18"/>
        </w:rPr>
        <w:t xml:space="preserve"> по оставшейся части покрытия.</w:t>
      </w:r>
    </w:p>
  </w:footnote>
  <w:footnote w:id="15">
    <w:p w:rsidR="00CE4E3A" w:rsidRPr="00906B90" w:rsidRDefault="00CE4E3A" w:rsidP="00906B90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r w:rsidRPr="00906B90">
        <w:rPr>
          <w:rStyle w:val="a6"/>
          <w:rFonts w:ascii="Times New Roman" w:hAnsi="Times New Roman" w:cs="Times New Roman"/>
          <w:sz w:val="18"/>
          <w:szCs w:val="18"/>
        </w:rPr>
        <w:footnoteRef/>
      </w:r>
      <w:r w:rsidRPr="00906B90">
        <w:rPr>
          <w:rStyle w:val="a6"/>
          <w:rFonts w:ascii="Times New Roman" w:hAnsi="Times New Roman" w:cs="Times New Roman"/>
          <w:sz w:val="18"/>
          <w:szCs w:val="18"/>
        </w:rPr>
        <w:t xml:space="preserve"> </w:t>
      </w:r>
      <w:r w:rsidRPr="00906B90">
        <w:rPr>
          <w:rFonts w:ascii="Times New Roman" w:hAnsi="Times New Roman" w:cs="Times New Roman"/>
          <w:sz w:val="18"/>
          <w:szCs w:val="18"/>
        </w:rPr>
        <w:t>Приложение 1 к Положению Банка России от 29.06.2020 № 727-П «О формах раскрытия информации в бухгалтерской (финансовой) отчетности негосударственных пенсионных фондов и порядке группировки счетов бухгалтерского учета в соответствии с показателями бухгалтерской (финансовой) отчетности» (далее – Положение № 727-П).</w:t>
      </w:r>
    </w:p>
  </w:footnote>
  <w:footnote w:id="16">
    <w:p w:rsidR="005C6C31" w:rsidRDefault="005C6C31">
      <w:pPr>
        <w:pStyle w:val="a4"/>
      </w:pPr>
      <w:r w:rsidRPr="005C6C31">
        <w:rPr>
          <w:rStyle w:val="a6"/>
          <w:rFonts w:ascii="Times New Roman" w:hAnsi="Times New Roman" w:cs="Times New Roman"/>
          <w:sz w:val="18"/>
          <w:szCs w:val="18"/>
        </w:rPr>
        <w:footnoteRef/>
      </w:r>
      <w:r>
        <w:t xml:space="preserve"> </w:t>
      </w:r>
      <w:r w:rsidRPr="005C6C31">
        <w:rPr>
          <w:rFonts w:ascii="Times New Roman" w:hAnsi="Times New Roman" w:cs="Times New Roman"/>
          <w:sz w:val="18"/>
          <w:szCs w:val="18"/>
        </w:rPr>
        <w:t>Отчет о финансовых результатах.</w:t>
      </w:r>
    </w:p>
  </w:footnote>
  <w:footnote w:id="17">
    <w:p w:rsidR="005C6C31" w:rsidRPr="000F42C0" w:rsidRDefault="005C6C31" w:rsidP="005C6C31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r w:rsidRPr="000F42C0">
        <w:rPr>
          <w:rStyle w:val="a6"/>
          <w:rFonts w:ascii="Times New Roman" w:hAnsi="Times New Roman" w:cs="Times New Roman"/>
          <w:sz w:val="18"/>
          <w:szCs w:val="18"/>
        </w:rPr>
        <w:footnoteRef/>
      </w:r>
      <w:r w:rsidRPr="000F42C0">
        <w:rPr>
          <w:rFonts w:ascii="Times New Roman" w:hAnsi="Times New Roman" w:cs="Times New Roman"/>
          <w:sz w:val="18"/>
          <w:szCs w:val="18"/>
        </w:rPr>
        <w:t xml:space="preserve"> Аквизиционные денежные потоки.</w:t>
      </w:r>
    </w:p>
  </w:footnote>
  <w:footnote w:id="18">
    <w:p w:rsidR="00316C41" w:rsidRPr="000F42C0" w:rsidRDefault="00316C41" w:rsidP="00906B90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r w:rsidRPr="000F42C0">
        <w:rPr>
          <w:rStyle w:val="a6"/>
          <w:rFonts w:ascii="Times New Roman" w:hAnsi="Times New Roman" w:cs="Times New Roman"/>
          <w:sz w:val="18"/>
          <w:szCs w:val="18"/>
        </w:rPr>
        <w:footnoteRef/>
      </w:r>
      <w:r w:rsidRPr="000F42C0">
        <w:rPr>
          <w:rFonts w:ascii="Times New Roman" w:hAnsi="Times New Roman" w:cs="Times New Roman"/>
          <w:sz w:val="18"/>
          <w:szCs w:val="18"/>
        </w:rPr>
        <w:t xml:space="preserve"> </w:t>
      </w:r>
      <w:r w:rsidRPr="000F42C0">
        <w:rPr>
          <w:rFonts w:ascii="Times New Roman" w:eastAsia="Times New Roman" w:hAnsi="Times New Roman" w:cs="Times New Roman"/>
          <w:sz w:val="18"/>
          <w:szCs w:val="18"/>
          <w:lang w:eastAsia="ru-RU"/>
        </w:rPr>
        <w:t>Положение по бухгалтерскому учету 1/2008 «Положение по бухгалтерскому учету «Учетная политика организации».</w:t>
      </w:r>
    </w:p>
  </w:footnote>
  <w:footnote w:id="19">
    <w:p w:rsidR="005C6C31" w:rsidRPr="000F42C0" w:rsidRDefault="005C6C31" w:rsidP="005C6C31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r w:rsidRPr="000F42C0">
        <w:rPr>
          <w:rStyle w:val="a6"/>
          <w:rFonts w:ascii="Times New Roman" w:hAnsi="Times New Roman" w:cs="Times New Roman"/>
          <w:sz w:val="18"/>
          <w:szCs w:val="18"/>
        </w:rPr>
        <w:footnoteRef/>
      </w:r>
      <w:r w:rsidRPr="000F42C0">
        <w:rPr>
          <w:rFonts w:ascii="Times New Roman" w:hAnsi="Times New Roman" w:cs="Times New Roman"/>
          <w:sz w:val="18"/>
          <w:szCs w:val="18"/>
        </w:rPr>
        <w:t xml:space="preserve"> Федеральный закон от 07.05.1998 № 75-ФЗ «О негосударственных пенсионных фондах».</w:t>
      </w:r>
    </w:p>
  </w:footnote>
  <w:footnote w:id="20">
    <w:p w:rsidR="005C6C31" w:rsidRDefault="005C6C31">
      <w:pPr>
        <w:pStyle w:val="a4"/>
      </w:pPr>
      <w:r w:rsidRPr="005C6C31">
        <w:rPr>
          <w:rStyle w:val="a6"/>
          <w:rFonts w:ascii="Times New Roman" w:hAnsi="Times New Roman" w:cs="Times New Roman"/>
          <w:sz w:val="18"/>
          <w:szCs w:val="18"/>
        </w:rPr>
        <w:footnoteRef/>
      </w:r>
      <w:r w:rsidRPr="005C6C31">
        <w:rPr>
          <w:rFonts w:ascii="Times New Roman" w:hAnsi="Times New Roman" w:cs="Times New Roman"/>
          <w:sz w:val="18"/>
          <w:szCs w:val="18"/>
        </w:rPr>
        <w:t xml:space="preserve"> Пенсионные накопления.</w:t>
      </w:r>
    </w:p>
  </w:footnote>
  <w:footnote w:id="21">
    <w:p w:rsidR="005C6C31" w:rsidRDefault="005C6C31">
      <w:pPr>
        <w:pStyle w:val="a4"/>
      </w:pPr>
      <w:r w:rsidRPr="005C6C31">
        <w:rPr>
          <w:rStyle w:val="a6"/>
          <w:rFonts w:ascii="Times New Roman" w:hAnsi="Times New Roman" w:cs="Times New Roman"/>
          <w:sz w:val="18"/>
          <w:szCs w:val="18"/>
        </w:rPr>
        <w:footnoteRef/>
      </w:r>
      <w:r>
        <w:t xml:space="preserve"> </w:t>
      </w:r>
      <w:r w:rsidRPr="005C6C31">
        <w:rPr>
          <w:rFonts w:ascii="Times New Roman" w:hAnsi="Times New Roman" w:cs="Times New Roman"/>
          <w:sz w:val="18"/>
          <w:szCs w:val="18"/>
        </w:rPr>
        <w:t>Собственные средства.</w:t>
      </w:r>
    </w:p>
  </w:footnote>
  <w:footnote w:id="22">
    <w:p w:rsidR="00DA1B6F" w:rsidRDefault="00DA1B6F">
      <w:pPr>
        <w:pStyle w:val="a4"/>
      </w:pPr>
      <w:r w:rsidRPr="00DA1B6F">
        <w:rPr>
          <w:rStyle w:val="a6"/>
          <w:rFonts w:ascii="Times New Roman" w:hAnsi="Times New Roman" w:cs="Times New Roman"/>
          <w:sz w:val="18"/>
          <w:szCs w:val="18"/>
        </w:rPr>
        <w:footnoteRef/>
      </w:r>
      <w:r w:rsidRPr="00DA1B6F">
        <w:rPr>
          <w:sz w:val="18"/>
          <w:szCs w:val="18"/>
        </w:rPr>
        <w:t xml:space="preserve"> </w:t>
      </w:r>
      <w:r w:rsidRPr="00DA1B6F">
        <w:rPr>
          <w:rFonts w:ascii="Times New Roman" w:hAnsi="Times New Roman" w:cs="Times New Roman"/>
          <w:sz w:val="18"/>
          <w:szCs w:val="18"/>
        </w:rPr>
        <w:t>Договор доверительного управления.</w:t>
      </w:r>
    </w:p>
  </w:footnote>
  <w:footnote w:id="23">
    <w:p w:rsidR="00664684" w:rsidRPr="00AC0C24" w:rsidRDefault="00664684" w:rsidP="00664684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r w:rsidRPr="00AC0C24">
        <w:rPr>
          <w:rStyle w:val="a6"/>
          <w:rFonts w:ascii="Times New Roman" w:hAnsi="Times New Roman" w:cs="Times New Roman"/>
          <w:sz w:val="18"/>
          <w:szCs w:val="18"/>
        </w:rPr>
        <w:footnoteRef/>
      </w:r>
      <w:r w:rsidRPr="00AC0C24">
        <w:rPr>
          <w:rFonts w:ascii="Times New Roman" w:hAnsi="Times New Roman" w:cs="Times New Roman"/>
          <w:sz w:val="18"/>
          <w:szCs w:val="18"/>
        </w:rPr>
        <w:t xml:space="preserve"> Резерв по обязательному пенсионному страхованию.</w:t>
      </w:r>
    </w:p>
  </w:footnote>
  <w:footnote w:id="24">
    <w:p w:rsidR="00664684" w:rsidRPr="00AC0C24" w:rsidRDefault="00664684" w:rsidP="00664684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r w:rsidRPr="00AC0C24">
        <w:rPr>
          <w:rStyle w:val="a6"/>
          <w:rFonts w:ascii="Times New Roman" w:hAnsi="Times New Roman" w:cs="Times New Roman"/>
          <w:sz w:val="18"/>
          <w:szCs w:val="18"/>
        </w:rPr>
        <w:footnoteRef/>
      </w:r>
      <w:r w:rsidRPr="00AC0C24">
        <w:rPr>
          <w:rFonts w:ascii="Times New Roman" w:hAnsi="Times New Roman" w:cs="Times New Roman"/>
          <w:sz w:val="18"/>
          <w:szCs w:val="18"/>
        </w:rPr>
        <w:t xml:space="preserve"> Страховой резерв.</w:t>
      </w:r>
    </w:p>
  </w:footnote>
  <w:footnote w:id="25">
    <w:p w:rsidR="006D5436" w:rsidRPr="00906B90" w:rsidRDefault="006D5436" w:rsidP="006D5436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r w:rsidRPr="00AC0C24">
        <w:rPr>
          <w:rStyle w:val="a6"/>
          <w:rFonts w:ascii="Times New Roman" w:hAnsi="Times New Roman" w:cs="Times New Roman"/>
          <w:sz w:val="18"/>
          <w:szCs w:val="18"/>
        </w:rPr>
        <w:footnoteRef/>
      </w:r>
      <w:r w:rsidRPr="00AC0C24">
        <w:rPr>
          <w:rFonts w:ascii="Times New Roman" w:hAnsi="Times New Roman" w:cs="Times New Roman"/>
          <w:sz w:val="18"/>
          <w:szCs w:val="18"/>
        </w:rPr>
        <w:t xml:space="preserve"> Международный стандарт финансовой отчетности (IFRS) 9 «Финансовые инструменты» в редакции 2014 года.</w:t>
      </w:r>
    </w:p>
  </w:footnote>
  <w:footnote w:id="26">
    <w:p w:rsidR="00CE4E3A" w:rsidRPr="00906B90" w:rsidRDefault="00CE4E3A" w:rsidP="00906B90">
      <w:pPr>
        <w:pStyle w:val="a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06B90">
        <w:rPr>
          <w:rStyle w:val="a6"/>
          <w:rFonts w:ascii="Times New Roman" w:hAnsi="Times New Roman" w:cs="Times New Roman"/>
          <w:sz w:val="18"/>
          <w:szCs w:val="18"/>
        </w:rPr>
        <w:footnoteRef/>
      </w:r>
      <w:r w:rsidRPr="00906B90">
        <w:rPr>
          <w:rStyle w:val="a6"/>
          <w:rFonts w:ascii="Times New Roman" w:hAnsi="Times New Roman" w:cs="Times New Roman"/>
          <w:sz w:val="18"/>
          <w:szCs w:val="18"/>
          <w:vertAlign w:val="baseline"/>
        </w:rPr>
        <w:t xml:space="preserve"> </w:t>
      </w:r>
      <w:r w:rsidRPr="00906B90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Приложение 2 к Положению № 727-П.</w:t>
      </w:r>
    </w:p>
  </w:footnote>
  <w:footnote w:id="27">
    <w:p w:rsidR="00CE4E3A" w:rsidRPr="00906B90" w:rsidRDefault="00CE4E3A" w:rsidP="00906B90">
      <w:pPr>
        <w:pStyle w:val="a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06B90">
        <w:rPr>
          <w:rStyle w:val="a6"/>
          <w:rFonts w:ascii="Times New Roman" w:hAnsi="Times New Roman" w:cs="Times New Roman"/>
          <w:sz w:val="18"/>
          <w:szCs w:val="18"/>
        </w:rPr>
        <w:footnoteRef/>
      </w:r>
      <w:r w:rsidRPr="00906B90">
        <w:rPr>
          <w:rStyle w:val="a6"/>
          <w:rFonts w:ascii="Times New Roman" w:hAnsi="Times New Roman" w:cs="Times New Roman"/>
          <w:sz w:val="18"/>
          <w:szCs w:val="18"/>
          <w:vertAlign w:val="baseline"/>
        </w:rPr>
        <w:t xml:space="preserve"> </w:t>
      </w:r>
      <w:r w:rsidRPr="00906B90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Приложение 7 к Положению 7 № 727-П.</w:t>
      </w:r>
    </w:p>
  </w:footnote>
  <w:footnote w:id="28">
    <w:p w:rsidR="005D0677" w:rsidRPr="00906B90" w:rsidRDefault="005D0677" w:rsidP="00906B90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r w:rsidRPr="00906B90">
        <w:rPr>
          <w:rStyle w:val="a6"/>
          <w:rFonts w:ascii="Times New Roman" w:hAnsi="Times New Roman" w:cs="Times New Roman"/>
          <w:sz w:val="18"/>
          <w:szCs w:val="18"/>
        </w:rPr>
        <w:footnoteRef/>
      </w:r>
      <w:r w:rsidRPr="00906B90">
        <w:rPr>
          <w:rFonts w:ascii="Times New Roman" w:hAnsi="Times New Roman" w:cs="Times New Roman"/>
          <w:sz w:val="18"/>
          <w:szCs w:val="18"/>
        </w:rPr>
        <w:t xml:space="preserve"> </w:t>
      </w:r>
      <w:r w:rsidRPr="00906B90">
        <w:rPr>
          <w:rFonts w:ascii="Times New Roman" w:eastAsia="Times New Roman" w:hAnsi="Times New Roman" w:cs="Times New Roman"/>
          <w:sz w:val="18"/>
          <w:szCs w:val="18"/>
          <w:lang w:eastAsia="ru-RU"/>
        </w:rPr>
        <w:t>Положения Банка России от 01.10.2015 № 494-П «Отраслевой стандарт бухгалтерского учета операций с ценными бумагами в некредитных финансовых организациях».</w:t>
      </w:r>
    </w:p>
  </w:footnote>
  <w:footnote w:id="29">
    <w:p w:rsidR="003D583E" w:rsidRPr="003D583E" w:rsidRDefault="00576F40" w:rsidP="003D583E">
      <w:pPr>
        <w:pStyle w:val="a4"/>
        <w:rPr>
          <w:rFonts w:ascii="Times New Roman" w:hAnsi="Times New Roman" w:cs="Times New Roman"/>
          <w:sz w:val="18"/>
          <w:szCs w:val="18"/>
        </w:rPr>
      </w:pPr>
      <w:r w:rsidRPr="003D583E">
        <w:rPr>
          <w:rStyle w:val="a6"/>
          <w:rFonts w:ascii="Times New Roman" w:hAnsi="Times New Roman" w:cs="Times New Roman"/>
          <w:sz w:val="18"/>
          <w:szCs w:val="18"/>
        </w:rPr>
        <w:footnoteRef/>
      </w:r>
      <w:r w:rsidRPr="003D583E">
        <w:rPr>
          <w:rFonts w:ascii="Times New Roman" w:hAnsi="Times New Roman" w:cs="Times New Roman"/>
          <w:sz w:val="18"/>
          <w:szCs w:val="18"/>
        </w:rPr>
        <w:t xml:space="preserve"> </w:t>
      </w:r>
      <w:r w:rsidR="003D583E" w:rsidRPr="003D583E">
        <w:rPr>
          <w:rFonts w:ascii="Times New Roman" w:hAnsi="Times New Roman" w:cs="Times New Roman"/>
          <w:sz w:val="18"/>
          <w:szCs w:val="18"/>
        </w:rPr>
        <w:t>Международный стандарт финансовой отчетности (IFRS) 9 «Финансовые инструменты».</w:t>
      </w:r>
    </w:p>
    <w:p w:rsidR="00576F40" w:rsidRPr="00576F40" w:rsidRDefault="00576F40">
      <w:pPr>
        <w:pStyle w:val="a4"/>
      </w:pPr>
    </w:p>
  </w:footnote>
  <w:footnote w:id="30">
    <w:p w:rsidR="002A6797" w:rsidRPr="00906B90" w:rsidRDefault="002A6797" w:rsidP="00906B90">
      <w:pPr>
        <w:tabs>
          <w:tab w:val="left" w:pos="3760"/>
          <w:tab w:val="left" w:pos="6312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06B90">
        <w:rPr>
          <w:rStyle w:val="a6"/>
          <w:rFonts w:ascii="Times New Roman" w:hAnsi="Times New Roman" w:cs="Times New Roman"/>
          <w:sz w:val="18"/>
          <w:szCs w:val="18"/>
        </w:rPr>
        <w:footnoteRef/>
      </w:r>
      <w:r w:rsidRPr="00906B90">
        <w:rPr>
          <w:rFonts w:ascii="Times New Roman" w:hAnsi="Times New Roman" w:cs="Times New Roman"/>
          <w:sz w:val="18"/>
          <w:szCs w:val="18"/>
        </w:rPr>
        <w:t xml:space="preserve"> </w:t>
      </w:r>
      <w:r w:rsidRPr="00906B90">
        <w:rPr>
          <w:rFonts w:ascii="Times New Roman" w:eastAsia="Times New Roman" w:hAnsi="Times New Roman" w:cs="Times New Roman"/>
          <w:sz w:val="18"/>
          <w:szCs w:val="18"/>
          <w:lang w:eastAsia="ru-RU"/>
        </w:rPr>
        <w:t>Указание Банка России от 28.06.2024 № 6796-У «О формах, сроках и порядке составления и представления в Банк России отчетности, в том числе о требованиях к отчетности по обязательному пенсионному страхованию, негосударственных пенсионных фондов, а также о порядке сообщения негосударственными пенсионными фондами Банку России информации о лицах, которым поручено проведение идентификации, упрощенной идентификации, обновление информации о клиентах, представителях клиентов, выгодоприобретателях и бенефициарных владельцах».</w:t>
      </w:r>
    </w:p>
  </w:footnote>
  <w:footnote w:id="31">
    <w:p w:rsidR="00CE4E3A" w:rsidRPr="00906B90" w:rsidRDefault="00CE4E3A" w:rsidP="00906B90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r w:rsidRPr="00906B90">
        <w:rPr>
          <w:rStyle w:val="a6"/>
          <w:rFonts w:ascii="Times New Roman" w:hAnsi="Times New Roman" w:cs="Times New Roman"/>
          <w:sz w:val="18"/>
          <w:szCs w:val="18"/>
        </w:rPr>
        <w:footnoteRef/>
      </w:r>
      <w:r w:rsidRPr="00906B90">
        <w:rPr>
          <w:rFonts w:ascii="Times New Roman" w:hAnsi="Times New Roman" w:cs="Times New Roman"/>
          <w:sz w:val="18"/>
          <w:szCs w:val="18"/>
        </w:rPr>
        <w:t xml:space="preserve"> Приложение 4 к Положению № 727-П.</w:t>
      </w:r>
    </w:p>
  </w:footnote>
  <w:footnote w:id="32">
    <w:p w:rsidR="00CE4E3A" w:rsidRPr="00906B90" w:rsidRDefault="00CE4E3A" w:rsidP="00906B90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r w:rsidRPr="00906B90">
        <w:rPr>
          <w:rStyle w:val="a6"/>
          <w:rFonts w:ascii="Times New Roman" w:hAnsi="Times New Roman" w:cs="Times New Roman"/>
          <w:sz w:val="18"/>
          <w:szCs w:val="18"/>
        </w:rPr>
        <w:footnoteRef/>
      </w:r>
      <w:r w:rsidRPr="00906B90">
        <w:rPr>
          <w:rFonts w:ascii="Times New Roman" w:hAnsi="Times New Roman" w:cs="Times New Roman"/>
          <w:sz w:val="18"/>
          <w:szCs w:val="18"/>
        </w:rPr>
        <w:t xml:space="preserve"> Международный стандарт финансовой отчетности (IAS) 7 «Отчет о движении денежных средств».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06595"/>
    <w:multiLevelType w:val="multilevel"/>
    <w:tmpl w:val="7C4A84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F965A0"/>
    <w:multiLevelType w:val="multilevel"/>
    <w:tmpl w:val="7C4A84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12670D"/>
    <w:multiLevelType w:val="multilevel"/>
    <w:tmpl w:val="4A4808C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92239C0"/>
    <w:multiLevelType w:val="multilevel"/>
    <w:tmpl w:val="93BC388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C0272C0"/>
    <w:multiLevelType w:val="multilevel"/>
    <w:tmpl w:val="7C4A84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6EB1EAF"/>
    <w:multiLevelType w:val="multilevel"/>
    <w:tmpl w:val="8BF016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058261A"/>
    <w:multiLevelType w:val="multilevel"/>
    <w:tmpl w:val="F74A851A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0BF3234"/>
    <w:multiLevelType w:val="multilevel"/>
    <w:tmpl w:val="5DB434F2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13256D3"/>
    <w:multiLevelType w:val="multilevel"/>
    <w:tmpl w:val="40FC80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6B526ED"/>
    <w:multiLevelType w:val="hybridMultilevel"/>
    <w:tmpl w:val="B600B836"/>
    <w:lvl w:ilvl="0" w:tplc="56DCB734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5865607F"/>
    <w:multiLevelType w:val="multilevel"/>
    <w:tmpl w:val="7C4A84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6006D2D"/>
    <w:multiLevelType w:val="multilevel"/>
    <w:tmpl w:val="4B5EB7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7"/>
  </w:num>
  <w:num w:numId="7">
    <w:abstractNumId w:val="6"/>
  </w:num>
  <w:num w:numId="8">
    <w:abstractNumId w:val="11"/>
  </w:num>
  <w:num w:numId="9">
    <w:abstractNumId w:val="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F73"/>
    <w:rsid w:val="00000B7E"/>
    <w:rsid w:val="00002B88"/>
    <w:rsid w:val="000030A6"/>
    <w:rsid w:val="00006E34"/>
    <w:rsid w:val="000070C1"/>
    <w:rsid w:val="000072D5"/>
    <w:rsid w:val="00013664"/>
    <w:rsid w:val="0001408B"/>
    <w:rsid w:val="000149C7"/>
    <w:rsid w:val="00020D36"/>
    <w:rsid w:val="00023669"/>
    <w:rsid w:val="000251D8"/>
    <w:rsid w:val="000262BE"/>
    <w:rsid w:val="00027C51"/>
    <w:rsid w:val="00034930"/>
    <w:rsid w:val="000349B8"/>
    <w:rsid w:val="00036198"/>
    <w:rsid w:val="00037ABD"/>
    <w:rsid w:val="000438CF"/>
    <w:rsid w:val="0004695C"/>
    <w:rsid w:val="000471C4"/>
    <w:rsid w:val="000479A7"/>
    <w:rsid w:val="00047D0D"/>
    <w:rsid w:val="00050B13"/>
    <w:rsid w:val="000516CF"/>
    <w:rsid w:val="00051961"/>
    <w:rsid w:val="00054979"/>
    <w:rsid w:val="00057656"/>
    <w:rsid w:val="0006194E"/>
    <w:rsid w:val="00062223"/>
    <w:rsid w:val="00063406"/>
    <w:rsid w:val="00064667"/>
    <w:rsid w:val="000654FC"/>
    <w:rsid w:val="00066425"/>
    <w:rsid w:val="0007029F"/>
    <w:rsid w:val="00070A26"/>
    <w:rsid w:val="00072C78"/>
    <w:rsid w:val="000744D5"/>
    <w:rsid w:val="0007547E"/>
    <w:rsid w:val="00077C0A"/>
    <w:rsid w:val="00082EDF"/>
    <w:rsid w:val="00083991"/>
    <w:rsid w:val="00083EC9"/>
    <w:rsid w:val="00084907"/>
    <w:rsid w:val="000858E5"/>
    <w:rsid w:val="00087913"/>
    <w:rsid w:val="00092FF2"/>
    <w:rsid w:val="000946C5"/>
    <w:rsid w:val="00095FC1"/>
    <w:rsid w:val="00096395"/>
    <w:rsid w:val="00096D81"/>
    <w:rsid w:val="000A036F"/>
    <w:rsid w:val="000A0C3B"/>
    <w:rsid w:val="000A221F"/>
    <w:rsid w:val="000A3404"/>
    <w:rsid w:val="000A4B05"/>
    <w:rsid w:val="000A51BB"/>
    <w:rsid w:val="000A5348"/>
    <w:rsid w:val="000A73FB"/>
    <w:rsid w:val="000A7916"/>
    <w:rsid w:val="000A7B8B"/>
    <w:rsid w:val="000B0AB3"/>
    <w:rsid w:val="000B202D"/>
    <w:rsid w:val="000B38C9"/>
    <w:rsid w:val="000B409E"/>
    <w:rsid w:val="000B53B7"/>
    <w:rsid w:val="000B6C82"/>
    <w:rsid w:val="000B7C70"/>
    <w:rsid w:val="000C1645"/>
    <w:rsid w:val="000C3885"/>
    <w:rsid w:val="000C5F73"/>
    <w:rsid w:val="000C7059"/>
    <w:rsid w:val="000C7D84"/>
    <w:rsid w:val="000D1715"/>
    <w:rsid w:val="000D1DDE"/>
    <w:rsid w:val="000D5C19"/>
    <w:rsid w:val="000E1BCE"/>
    <w:rsid w:val="000E5C74"/>
    <w:rsid w:val="000F239D"/>
    <w:rsid w:val="000F42C0"/>
    <w:rsid w:val="000F5909"/>
    <w:rsid w:val="00102A39"/>
    <w:rsid w:val="00102ED0"/>
    <w:rsid w:val="00103838"/>
    <w:rsid w:val="00103DA5"/>
    <w:rsid w:val="00110D24"/>
    <w:rsid w:val="00113AB7"/>
    <w:rsid w:val="001160F2"/>
    <w:rsid w:val="00116C9F"/>
    <w:rsid w:val="001213C2"/>
    <w:rsid w:val="00123E36"/>
    <w:rsid w:val="00130A9C"/>
    <w:rsid w:val="00130B66"/>
    <w:rsid w:val="001336FE"/>
    <w:rsid w:val="001364F6"/>
    <w:rsid w:val="0013768C"/>
    <w:rsid w:val="00141130"/>
    <w:rsid w:val="001419D2"/>
    <w:rsid w:val="00141D03"/>
    <w:rsid w:val="00144605"/>
    <w:rsid w:val="00144DB4"/>
    <w:rsid w:val="00144F43"/>
    <w:rsid w:val="00147B59"/>
    <w:rsid w:val="00152496"/>
    <w:rsid w:val="001533CA"/>
    <w:rsid w:val="001555BC"/>
    <w:rsid w:val="0015732B"/>
    <w:rsid w:val="00162E50"/>
    <w:rsid w:val="001645D1"/>
    <w:rsid w:val="00164BB2"/>
    <w:rsid w:val="00170AC5"/>
    <w:rsid w:val="00173515"/>
    <w:rsid w:val="00173ED8"/>
    <w:rsid w:val="0018154B"/>
    <w:rsid w:val="00182FBA"/>
    <w:rsid w:val="00186051"/>
    <w:rsid w:val="00190200"/>
    <w:rsid w:val="001920A1"/>
    <w:rsid w:val="001931C9"/>
    <w:rsid w:val="00194FE4"/>
    <w:rsid w:val="00197751"/>
    <w:rsid w:val="00197AA6"/>
    <w:rsid w:val="001A2DF3"/>
    <w:rsid w:val="001A52A1"/>
    <w:rsid w:val="001A5F03"/>
    <w:rsid w:val="001B18FC"/>
    <w:rsid w:val="001B2674"/>
    <w:rsid w:val="001B47DF"/>
    <w:rsid w:val="001B5E7C"/>
    <w:rsid w:val="001C2884"/>
    <w:rsid w:val="001C3F1D"/>
    <w:rsid w:val="001D03CF"/>
    <w:rsid w:val="001D759D"/>
    <w:rsid w:val="001E3144"/>
    <w:rsid w:val="001E487A"/>
    <w:rsid w:val="001E5F07"/>
    <w:rsid w:val="001E7B5D"/>
    <w:rsid w:val="001F574D"/>
    <w:rsid w:val="001F6811"/>
    <w:rsid w:val="001F7402"/>
    <w:rsid w:val="00201B58"/>
    <w:rsid w:val="00202978"/>
    <w:rsid w:val="00202E04"/>
    <w:rsid w:val="00204AA2"/>
    <w:rsid w:val="00204AAE"/>
    <w:rsid w:val="002073C2"/>
    <w:rsid w:val="00207892"/>
    <w:rsid w:val="00212067"/>
    <w:rsid w:val="00213FCB"/>
    <w:rsid w:val="00215DED"/>
    <w:rsid w:val="0021708A"/>
    <w:rsid w:val="002227F4"/>
    <w:rsid w:val="00222832"/>
    <w:rsid w:val="002266F1"/>
    <w:rsid w:val="00226707"/>
    <w:rsid w:val="002304E4"/>
    <w:rsid w:val="00231B84"/>
    <w:rsid w:val="002324C6"/>
    <w:rsid w:val="0023297C"/>
    <w:rsid w:val="00234845"/>
    <w:rsid w:val="002348D4"/>
    <w:rsid w:val="002412B2"/>
    <w:rsid w:val="002443CD"/>
    <w:rsid w:val="00245223"/>
    <w:rsid w:val="00247E3A"/>
    <w:rsid w:val="002540D8"/>
    <w:rsid w:val="00255276"/>
    <w:rsid w:val="00255BD3"/>
    <w:rsid w:val="002614FB"/>
    <w:rsid w:val="00263655"/>
    <w:rsid w:val="00264228"/>
    <w:rsid w:val="00264435"/>
    <w:rsid w:val="00265819"/>
    <w:rsid w:val="00266E6A"/>
    <w:rsid w:val="00272D60"/>
    <w:rsid w:val="00272DC9"/>
    <w:rsid w:val="002756D6"/>
    <w:rsid w:val="002759E2"/>
    <w:rsid w:val="00277C61"/>
    <w:rsid w:val="00286235"/>
    <w:rsid w:val="002925F1"/>
    <w:rsid w:val="00292FC5"/>
    <w:rsid w:val="00293AC0"/>
    <w:rsid w:val="002A3934"/>
    <w:rsid w:val="002A3EF9"/>
    <w:rsid w:val="002A5A0F"/>
    <w:rsid w:val="002A6797"/>
    <w:rsid w:val="002B2B25"/>
    <w:rsid w:val="002B3E05"/>
    <w:rsid w:val="002B40DA"/>
    <w:rsid w:val="002C3E43"/>
    <w:rsid w:val="002C4D5E"/>
    <w:rsid w:val="002C508F"/>
    <w:rsid w:val="002C547C"/>
    <w:rsid w:val="002C74F9"/>
    <w:rsid w:val="002D06BB"/>
    <w:rsid w:val="002D255F"/>
    <w:rsid w:val="002D2DAD"/>
    <w:rsid w:val="002D406A"/>
    <w:rsid w:val="002D4F54"/>
    <w:rsid w:val="002D65AD"/>
    <w:rsid w:val="002E012A"/>
    <w:rsid w:val="002E0BE6"/>
    <w:rsid w:val="002E24DA"/>
    <w:rsid w:val="002E6579"/>
    <w:rsid w:val="002F2373"/>
    <w:rsid w:val="002F3A70"/>
    <w:rsid w:val="002F4814"/>
    <w:rsid w:val="002F504F"/>
    <w:rsid w:val="002F5498"/>
    <w:rsid w:val="003001BF"/>
    <w:rsid w:val="0030117E"/>
    <w:rsid w:val="00305640"/>
    <w:rsid w:val="00307D55"/>
    <w:rsid w:val="00310912"/>
    <w:rsid w:val="00312CEF"/>
    <w:rsid w:val="00312DC9"/>
    <w:rsid w:val="003139EA"/>
    <w:rsid w:val="003153A7"/>
    <w:rsid w:val="00316C41"/>
    <w:rsid w:val="00317179"/>
    <w:rsid w:val="003176E1"/>
    <w:rsid w:val="00320FAB"/>
    <w:rsid w:val="00322493"/>
    <w:rsid w:val="003233A1"/>
    <w:rsid w:val="00323714"/>
    <w:rsid w:val="003248C0"/>
    <w:rsid w:val="00327C23"/>
    <w:rsid w:val="003307EE"/>
    <w:rsid w:val="00331695"/>
    <w:rsid w:val="003316BE"/>
    <w:rsid w:val="003408A0"/>
    <w:rsid w:val="00340C72"/>
    <w:rsid w:val="00341770"/>
    <w:rsid w:val="0034337E"/>
    <w:rsid w:val="0035056C"/>
    <w:rsid w:val="00353EEC"/>
    <w:rsid w:val="0036046F"/>
    <w:rsid w:val="0036105E"/>
    <w:rsid w:val="00361688"/>
    <w:rsid w:val="00363461"/>
    <w:rsid w:val="00363840"/>
    <w:rsid w:val="00366431"/>
    <w:rsid w:val="00366DAC"/>
    <w:rsid w:val="003718B5"/>
    <w:rsid w:val="00372077"/>
    <w:rsid w:val="00372A93"/>
    <w:rsid w:val="003735F0"/>
    <w:rsid w:val="00374686"/>
    <w:rsid w:val="00375B23"/>
    <w:rsid w:val="0037637C"/>
    <w:rsid w:val="00376E78"/>
    <w:rsid w:val="00380CF4"/>
    <w:rsid w:val="00390206"/>
    <w:rsid w:val="00392120"/>
    <w:rsid w:val="00392922"/>
    <w:rsid w:val="00392F8B"/>
    <w:rsid w:val="0039645E"/>
    <w:rsid w:val="003A2180"/>
    <w:rsid w:val="003A2706"/>
    <w:rsid w:val="003A2BF2"/>
    <w:rsid w:val="003A557B"/>
    <w:rsid w:val="003A7CAB"/>
    <w:rsid w:val="003B1B8E"/>
    <w:rsid w:val="003B3060"/>
    <w:rsid w:val="003B31BD"/>
    <w:rsid w:val="003B35E4"/>
    <w:rsid w:val="003B3B15"/>
    <w:rsid w:val="003B3E06"/>
    <w:rsid w:val="003B6EF5"/>
    <w:rsid w:val="003B6F56"/>
    <w:rsid w:val="003C0763"/>
    <w:rsid w:val="003C086E"/>
    <w:rsid w:val="003C42E7"/>
    <w:rsid w:val="003C5952"/>
    <w:rsid w:val="003D583E"/>
    <w:rsid w:val="003D6B83"/>
    <w:rsid w:val="003E158D"/>
    <w:rsid w:val="003E2390"/>
    <w:rsid w:val="003E3669"/>
    <w:rsid w:val="003E3B70"/>
    <w:rsid w:val="003E4BC0"/>
    <w:rsid w:val="003E506A"/>
    <w:rsid w:val="003E6161"/>
    <w:rsid w:val="003E6296"/>
    <w:rsid w:val="003F5270"/>
    <w:rsid w:val="003F5274"/>
    <w:rsid w:val="003F53DD"/>
    <w:rsid w:val="003F53FB"/>
    <w:rsid w:val="003F6C20"/>
    <w:rsid w:val="00403DEF"/>
    <w:rsid w:val="00404363"/>
    <w:rsid w:val="00406428"/>
    <w:rsid w:val="004071D9"/>
    <w:rsid w:val="00411524"/>
    <w:rsid w:val="00412281"/>
    <w:rsid w:val="004142B4"/>
    <w:rsid w:val="004144BF"/>
    <w:rsid w:val="004160FE"/>
    <w:rsid w:val="0041677F"/>
    <w:rsid w:val="004172B3"/>
    <w:rsid w:val="00420D27"/>
    <w:rsid w:val="00425688"/>
    <w:rsid w:val="00427D19"/>
    <w:rsid w:val="00431298"/>
    <w:rsid w:val="00433E88"/>
    <w:rsid w:val="0043711A"/>
    <w:rsid w:val="004371D6"/>
    <w:rsid w:val="0043755F"/>
    <w:rsid w:val="00441E66"/>
    <w:rsid w:val="00442E8F"/>
    <w:rsid w:val="00447CB0"/>
    <w:rsid w:val="00447DCD"/>
    <w:rsid w:val="00453B1A"/>
    <w:rsid w:val="00453E8B"/>
    <w:rsid w:val="00455977"/>
    <w:rsid w:val="00455B89"/>
    <w:rsid w:val="00456512"/>
    <w:rsid w:val="0045694C"/>
    <w:rsid w:val="00456BE7"/>
    <w:rsid w:val="0045769D"/>
    <w:rsid w:val="00460375"/>
    <w:rsid w:val="00460D8E"/>
    <w:rsid w:val="00460DD9"/>
    <w:rsid w:val="00463511"/>
    <w:rsid w:val="0046467B"/>
    <w:rsid w:val="00465AF6"/>
    <w:rsid w:val="004705D5"/>
    <w:rsid w:val="00472A5F"/>
    <w:rsid w:val="00473B9C"/>
    <w:rsid w:val="00474DD3"/>
    <w:rsid w:val="004774E8"/>
    <w:rsid w:val="0047786A"/>
    <w:rsid w:val="004821DD"/>
    <w:rsid w:val="00483200"/>
    <w:rsid w:val="00483C5A"/>
    <w:rsid w:val="00484A88"/>
    <w:rsid w:val="0048535E"/>
    <w:rsid w:val="0049067E"/>
    <w:rsid w:val="00490F27"/>
    <w:rsid w:val="00491084"/>
    <w:rsid w:val="004920C1"/>
    <w:rsid w:val="00492C2C"/>
    <w:rsid w:val="00493EC6"/>
    <w:rsid w:val="00495858"/>
    <w:rsid w:val="004A11B1"/>
    <w:rsid w:val="004A1400"/>
    <w:rsid w:val="004A159F"/>
    <w:rsid w:val="004A1643"/>
    <w:rsid w:val="004A2349"/>
    <w:rsid w:val="004A33FD"/>
    <w:rsid w:val="004A5964"/>
    <w:rsid w:val="004A715E"/>
    <w:rsid w:val="004A7D00"/>
    <w:rsid w:val="004A7F99"/>
    <w:rsid w:val="004B0880"/>
    <w:rsid w:val="004B1642"/>
    <w:rsid w:val="004B2739"/>
    <w:rsid w:val="004B2AF7"/>
    <w:rsid w:val="004B4962"/>
    <w:rsid w:val="004B7519"/>
    <w:rsid w:val="004C5506"/>
    <w:rsid w:val="004C65D2"/>
    <w:rsid w:val="004C69D5"/>
    <w:rsid w:val="004C7AAB"/>
    <w:rsid w:val="004D008D"/>
    <w:rsid w:val="004D159F"/>
    <w:rsid w:val="004D35A6"/>
    <w:rsid w:val="004D3ABB"/>
    <w:rsid w:val="004D5E54"/>
    <w:rsid w:val="004D7A18"/>
    <w:rsid w:val="004E05BA"/>
    <w:rsid w:val="004E0707"/>
    <w:rsid w:val="004E0D21"/>
    <w:rsid w:val="004E2562"/>
    <w:rsid w:val="004E37AE"/>
    <w:rsid w:val="004E43FF"/>
    <w:rsid w:val="00500221"/>
    <w:rsid w:val="005008A1"/>
    <w:rsid w:val="00503346"/>
    <w:rsid w:val="0050359C"/>
    <w:rsid w:val="0050502F"/>
    <w:rsid w:val="005065EF"/>
    <w:rsid w:val="00507015"/>
    <w:rsid w:val="0051173F"/>
    <w:rsid w:val="00512ABF"/>
    <w:rsid w:val="00514004"/>
    <w:rsid w:val="00514B17"/>
    <w:rsid w:val="00514D6C"/>
    <w:rsid w:val="00515C22"/>
    <w:rsid w:val="00516FC6"/>
    <w:rsid w:val="00517F15"/>
    <w:rsid w:val="00520687"/>
    <w:rsid w:val="00523166"/>
    <w:rsid w:val="0052704F"/>
    <w:rsid w:val="0052721E"/>
    <w:rsid w:val="0053025C"/>
    <w:rsid w:val="005331A4"/>
    <w:rsid w:val="00534E34"/>
    <w:rsid w:val="005359AF"/>
    <w:rsid w:val="00536D18"/>
    <w:rsid w:val="00537EC1"/>
    <w:rsid w:val="00541EC8"/>
    <w:rsid w:val="00545F6D"/>
    <w:rsid w:val="00546161"/>
    <w:rsid w:val="00546714"/>
    <w:rsid w:val="0055341E"/>
    <w:rsid w:val="00556FC0"/>
    <w:rsid w:val="005623E8"/>
    <w:rsid w:val="0057028F"/>
    <w:rsid w:val="00573C10"/>
    <w:rsid w:val="0057453D"/>
    <w:rsid w:val="00576F40"/>
    <w:rsid w:val="0058065E"/>
    <w:rsid w:val="00586602"/>
    <w:rsid w:val="005867EC"/>
    <w:rsid w:val="00586AA4"/>
    <w:rsid w:val="0058763B"/>
    <w:rsid w:val="00592F04"/>
    <w:rsid w:val="00595DB7"/>
    <w:rsid w:val="0059711F"/>
    <w:rsid w:val="00597491"/>
    <w:rsid w:val="005A0535"/>
    <w:rsid w:val="005A25E8"/>
    <w:rsid w:val="005A2D12"/>
    <w:rsid w:val="005A318A"/>
    <w:rsid w:val="005A3ABB"/>
    <w:rsid w:val="005A4047"/>
    <w:rsid w:val="005A595B"/>
    <w:rsid w:val="005B0500"/>
    <w:rsid w:val="005B0929"/>
    <w:rsid w:val="005B155C"/>
    <w:rsid w:val="005B5A81"/>
    <w:rsid w:val="005C4D88"/>
    <w:rsid w:val="005C5CCE"/>
    <w:rsid w:val="005C6C31"/>
    <w:rsid w:val="005C7E22"/>
    <w:rsid w:val="005D0677"/>
    <w:rsid w:val="005D20F3"/>
    <w:rsid w:val="005D48C7"/>
    <w:rsid w:val="005D69B2"/>
    <w:rsid w:val="005E1FD5"/>
    <w:rsid w:val="005E25E9"/>
    <w:rsid w:val="005E47AD"/>
    <w:rsid w:val="005E4906"/>
    <w:rsid w:val="005E6116"/>
    <w:rsid w:val="005E70A7"/>
    <w:rsid w:val="005E72C6"/>
    <w:rsid w:val="005F0845"/>
    <w:rsid w:val="005F2269"/>
    <w:rsid w:val="005F406B"/>
    <w:rsid w:val="005F6D6B"/>
    <w:rsid w:val="005F70AF"/>
    <w:rsid w:val="0060097A"/>
    <w:rsid w:val="00601ED5"/>
    <w:rsid w:val="006079E4"/>
    <w:rsid w:val="00607F68"/>
    <w:rsid w:val="00610D39"/>
    <w:rsid w:val="00612E8A"/>
    <w:rsid w:val="00613AEB"/>
    <w:rsid w:val="00615109"/>
    <w:rsid w:val="00616F3E"/>
    <w:rsid w:val="00617EEE"/>
    <w:rsid w:val="0062133E"/>
    <w:rsid w:val="00622FB4"/>
    <w:rsid w:val="00626D2B"/>
    <w:rsid w:val="00627095"/>
    <w:rsid w:val="00630675"/>
    <w:rsid w:val="00631BB9"/>
    <w:rsid w:val="00632BA1"/>
    <w:rsid w:val="006333F2"/>
    <w:rsid w:val="0064045E"/>
    <w:rsid w:val="00641773"/>
    <w:rsid w:val="006467EE"/>
    <w:rsid w:val="00647D88"/>
    <w:rsid w:val="00647EA7"/>
    <w:rsid w:val="006543F4"/>
    <w:rsid w:val="00655598"/>
    <w:rsid w:val="00655E5D"/>
    <w:rsid w:val="006562F8"/>
    <w:rsid w:val="00657675"/>
    <w:rsid w:val="006610AE"/>
    <w:rsid w:val="00662460"/>
    <w:rsid w:val="006637D5"/>
    <w:rsid w:val="00664684"/>
    <w:rsid w:val="006703A4"/>
    <w:rsid w:val="0067167F"/>
    <w:rsid w:val="00671F8A"/>
    <w:rsid w:val="00671FF4"/>
    <w:rsid w:val="0067220B"/>
    <w:rsid w:val="00672D8B"/>
    <w:rsid w:val="00673CCB"/>
    <w:rsid w:val="006775FD"/>
    <w:rsid w:val="00682032"/>
    <w:rsid w:val="00683050"/>
    <w:rsid w:val="00683AE7"/>
    <w:rsid w:val="0068672E"/>
    <w:rsid w:val="0069504A"/>
    <w:rsid w:val="0069539D"/>
    <w:rsid w:val="006956D6"/>
    <w:rsid w:val="0069663C"/>
    <w:rsid w:val="00696AE9"/>
    <w:rsid w:val="006A1A92"/>
    <w:rsid w:val="006A346F"/>
    <w:rsid w:val="006A3807"/>
    <w:rsid w:val="006A3F07"/>
    <w:rsid w:val="006A51F8"/>
    <w:rsid w:val="006A6EDE"/>
    <w:rsid w:val="006A71F8"/>
    <w:rsid w:val="006B0CE1"/>
    <w:rsid w:val="006B120E"/>
    <w:rsid w:val="006B236B"/>
    <w:rsid w:val="006B296F"/>
    <w:rsid w:val="006B343E"/>
    <w:rsid w:val="006B49C3"/>
    <w:rsid w:val="006B539D"/>
    <w:rsid w:val="006B5DC6"/>
    <w:rsid w:val="006B6B83"/>
    <w:rsid w:val="006C41F9"/>
    <w:rsid w:val="006C4D2B"/>
    <w:rsid w:val="006C64C8"/>
    <w:rsid w:val="006D1C40"/>
    <w:rsid w:val="006D3382"/>
    <w:rsid w:val="006D4708"/>
    <w:rsid w:val="006D4DD3"/>
    <w:rsid w:val="006D5436"/>
    <w:rsid w:val="006E0540"/>
    <w:rsid w:val="006E09DC"/>
    <w:rsid w:val="006E19AB"/>
    <w:rsid w:val="006E29C5"/>
    <w:rsid w:val="006E4D19"/>
    <w:rsid w:val="006E5E03"/>
    <w:rsid w:val="006E6A88"/>
    <w:rsid w:val="006E6E4F"/>
    <w:rsid w:val="006E77AF"/>
    <w:rsid w:val="006F09D9"/>
    <w:rsid w:val="006F1158"/>
    <w:rsid w:val="006F43D9"/>
    <w:rsid w:val="006F7948"/>
    <w:rsid w:val="007002B1"/>
    <w:rsid w:val="00704E3D"/>
    <w:rsid w:val="00707ECE"/>
    <w:rsid w:val="00710AB2"/>
    <w:rsid w:val="00710BF9"/>
    <w:rsid w:val="00712CA1"/>
    <w:rsid w:val="0071312C"/>
    <w:rsid w:val="007133F3"/>
    <w:rsid w:val="0071735E"/>
    <w:rsid w:val="00717F47"/>
    <w:rsid w:val="00720B15"/>
    <w:rsid w:val="0072290A"/>
    <w:rsid w:val="00726323"/>
    <w:rsid w:val="0072748F"/>
    <w:rsid w:val="00727584"/>
    <w:rsid w:val="007300EC"/>
    <w:rsid w:val="00732379"/>
    <w:rsid w:val="007323DE"/>
    <w:rsid w:val="007342E4"/>
    <w:rsid w:val="00735E40"/>
    <w:rsid w:val="00736F73"/>
    <w:rsid w:val="00740F1A"/>
    <w:rsid w:val="0074111E"/>
    <w:rsid w:val="00741B13"/>
    <w:rsid w:val="0074650E"/>
    <w:rsid w:val="007469C4"/>
    <w:rsid w:val="00751784"/>
    <w:rsid w:val="00752D40"/>
    <w:rsid w:val="0075425E"/>
    <w:rsid w:val="007543BD"/>
    <w:rsid w:val="007547A4"/>
    <w:rsid w:val="0075528F"/>
    <w:rsid w:val="0075603E"/>
    <w:rsid w:val="00756324"/>
    <w:rsid w:val="00757C23"/>
    <w:rsid w:val="0076193F"/>
    <w:rsid w:val="00770299"/>
    <w:rsid w:val="007712AA"/>
    <w:rsid w:val="00772FE3"/>
    <w:rsid w:val="00777AD4"/>
    <w:rsid w:val="00782DD6"/>
    <w:rsid w:val="00784827"/>
    <w:rsid w:val="0078592D"/>
    <w:rsid w:val="007871C9"/>
    <w:rsid w:val="00793BDE"/>
    <w:rsid w:val="00794A61"/>
    <w:rsid w:val="00795691"/>
    <w:rsid w:val="007960E8"/>
    <w:rsid w:val="00796A63"/>
    <w:rsid w:val="00797021"/>
    <w:rsid w:val="00797714"/>
    <w:rsid w:val="007A2873"/>
    <w:rsid w:val="007A72CF"/>
    <w:rsid w:val="007A7C87"/>
    <w:rsid w:val="007A7D50"/>
    <w:rsid w:val="007B105A"/>
    <w:rsid w:val="007B2E71"/>
    <w:rsid w:val="007B3328"/>
    <w:rsid w:val="007B40F3"/>
    <w:rsid w:val="007C0C57"/>
    <w:rsid w:val="007C299D"/>
    <w:rsid w:val="007C46B4"/>
    <w:rsid w:val="007C5635"/>
    <w:rsid w:val="007C76D2"/>
    <w:rsid w:val="007D12C6"/>
    <w:rsid w:val="007D1638"/>
    <w:rsid w:val="007D5499"/>
    <w:rsid w:val="007D66FF"/>
    <w:rsid w:val="007E0DC0"/>
    <w:rsid w:val="007E4B9E"/>
    <w:rsid w:val="007E5109"/>
    <w:rsid w:val="007F0094"/>
    <w:rsid w:val="007F0512"/>
    <w:rsid w:val="007F15D6"/>
    <w:rsid w:val="007F16F4"/>
    <w:rsid w:val="007F2DF2"/>
    <w:rsid w:val="007F37DA"/>
    <w:rsid w:val="007F3D5B"/>
    <w:rsid w:val="007F433A"/>
    <w:rsid w:val="00803D55"/>
    <w:rsid w:val="00805198"/>
    <w:rsid w:val="00806F9F"/>
    <w:rsid w:val="00807EA4"/>
    <w:rsid w:val="00810B18"/>
    <w:rsid w:val="00810E35"/>
    <w:rsid w:val="00811EF9"/>
    <w:rsid w:val="00811F01"/>
    <w:rsid w:val="00811F33"/>
    <w:rsid w:val="00813A53"/>
    <w:rsid w:val="00814F4A"/>
    <w:rsid w:val="00815B9B"/>
    <w:rsid w:val="00817BF0"/>
    <w:rsid w:val="00820587"/>
    <w:rsid w:val="00821B7C"/>
    <w:rsid w:val="00822484"/>
    <w:rsid w:val="00823B83"/>
    <w:rsid w:val="008246A1"/>
    <w:rsid w:val="00825142"/>
    <w:rsid w:val="00826FCA"/>
    <w:rsid w:val="008323C2"/>
    <w:rsid w:val="0083319B"/>
    <w:rsid w:val="00833D03"/>
    <w:rsid w:val="008340FB"/>
    <w:rsid w:val="00835775"/>
    <w:rsid w:val="00835BA4"/>
    <w:rsid w:val="0084006A"/>
    <w:rsid w:val="008421AA"/>
    <w:rsid w:val="00843572"/>
    <w:rsid w:val="00843D21"/>
    <w:rsid w:val="0084401D"/>
    <w:rsid w:val="00844494"/>
    <w:rsid w:val="00847B8E"/>
    <w:rsid w:val="00847F6D"/>
    <w:rsid w:val="00850524"/>
    <w:rsid w:val="00853C0C"/>
    <w:rsid w:val="008617E7"/>
    <w:rsid w:val="00863635"/>
    <w:rsid w:val="00864B81"/>
    <w:rsid w:val="00866668"/>
    <w:rsid w:val="00866FD2"/>
    <w:rsid w:val="00870E66"/>
    <w:rsid w:val="00874710"/>
    <w:rsid w:val="008755E9"/>
    <w:rsid w:val="00880894"/>
    <w:rsid w:val="00881516"/>
    <w:rsid w:val="00882988"/>
    <w:rsid w:val="00882DD2"/>
    <w:rsid w:val="008842C4"/>
    <w:rsid w:val="008859B3"/>
    <w:rsid w:val="00886F7A"/>
    <w:rsid w:val="008A0CCC"/>
    <w:rsid w:val="008A1501"/>
    <w:rsid w:val="008A2236"/>
    <w:rsid w:val="008A3883"/>
    <w:rsid w:val="008A3A53"/>
    <w:rsid w:val="008A5DCF"/>
    <w:rsid w:val="008B009F"/>
    <w:rsid w:val="008B1881"/>
    <w:rsid w:val="008B1CEE"/>
    <w:rsid w:val="008B2428"/>
    <w:rsid w:val="008B3EFA"/>
    <w:rsid w:val="008B6E55"/>
    <w:rsid w:val="008C1D46"/>
    <w:rsid w:val="008C3E4E"/>
    <w:rsid w:val="008C62BB"/>
    <w:rsid w:val="008D0C03"/>
    <w:rsid w:val="008D38C8"/>
    <w:rsid w:val="008D43B7"/>
    <w:rsid w:val="008D589B"/>
    <w:rsid w:val="008D5F7D"/>
    <w:rsid w:val="008D779B"/>
    <w:rsid w:val="008E0F85"/>
    <w:rsid w:val="008E2808"/>
    <w:rsid w:val="008E5C13"/>
    <w:rsid w:val="008E62F8"/>
    <w:rsid w:val="008E6408"/>
    <w:rsid w:val="008E65A9"/>
    <w:rsid w:val="008F23F3"/>
    <w:rsid w:val="008F31D8"/>
    <w:rsid w:val="008F4B49"/>
    <w:rsid w:val="008F4B91"/>
    <w:rsid w:val="008F64BD"/>
    <w:rsid w:val="008F6A6C"/>
    <w:rsid w:val="008F72B2"/>
    <w:rsid w:val="008F783C"/>
    <w:rsid w:val="0090223E"/>
    <w:rsid w:val="00906B90"/>
    <w:rsid w:val="009076F2"/>
    <w:rsid w:val="0091241F"/>
    <w:rsid w:val="00915CFE"/>
    <w:rsid w:val="0092325F"/>
    <w:rsid w:val="0092493A"/>
    <w:rsid w:val="00924E28"/>
    <w:rsid w:val="00924F37"/>
    <w:rsid w:val="00925F39"/>
    <w:rsid w:val="00930D42"/>
    <w:rsid w:val="00930E63"/>
    <w:rsid w:val="00932C2A"/>
    <w:rsid w:val="00934E8B"/>
    <w:rsid w:val="00935750"/>
    <w:rsid w:val="00936359"/>
    <w:rsid w:val="00936D1C"/>
    <w:rsid w:val="00941070"/>
    <w:rsid w:val="00941718"/>
    <w:rsid w:val="00941DD5"/>
    <w:rsid w:val="0094266C"/>
    <w:rsid w:val="00945BC5"/>
    <w:rsid w:val="00953245"/>
    <w:rsid w:val="00953AFE"/>
    <w:rsid w:val="00956C31"/>
    <w:rsid w:val="00957675"/>
    <w:rsid w:val="009602DD"/>
    <w:rsid w:val="00963A07"/>
    <w:rsid w:val="0096693D"/>
    <w:rsid w:val="00967AF8"/>
    <w:rsid w:val="009701B0"/>
    <w:rsid w:val="0097104B"/>
    <w:rsid w:val="00971220"/>
    <w:rsid w:val="00973627"/>
    <w:rsid w:val="00975363"/>
    <w:rsid w:val="00982187"/>
    <w:rsid w:val="00982AEC"/>
    <w:rsid w:val="00984EDE"/>
    <w:rsid w:val="009853DF"/>
    <w:rsid w:val="00985F3B"/>
    <w:rsid w:val="00993A08"/>
    <w:rsid w:val="00994C04"/>
    <w:rsid w:val="009951BC"/>
    <w:rsid w:val="0099799C"/>
    <w:rsid w:val="00997F1C"/>
    <w:rsid w:val="009A04AF"/>
    <w:rsid w:val="009A0946"/>
    <w:rsid w:val="009A1AF0"/>
    <w:rsid w:val="009A3CE4"/>
    <w:rsid w:val="009A5C09"/>
    <w:rsid w:val="009A5FB6"/>
    <w:rsid w:val="009A60BA"/>
    <w:rsid w:val="009A64F8"/>
    <w:rsid w:val="009B3A93"/>
    <w:rsid w:val="009B5440"/>
    <w:rsid w:val="009B6DB3"/>
    <w:rsid w:val="009B7200"/>
    <w:rsid w:val="009B73AC"/>
    <w:rsid w:val="009C121F"/>
    <w:rsid w:val="009C1DB6"/>
    <w:rsid w:val="009C26EA"/>
    <w:rsid w:val="009C279B"/>
    <w:rsid w:val="009C2A4D"/>
    <w:rsid w:val="009C2C14"/>
    <w:rsid w:val="009C3ACB"/>
    <w:rsid w:val="009C6A1D"/>
    <w:rsid w:val="009D276E"/>
    <w:rsid w:val="009D4432"/>
    <w:rsid w:val="009E17AF"/>
    <w:rsid w:val="009E2028"/>
    <w:rsid w:val="009E272A"/>
    <w:rsid w:val="009E3919"/>
    <w:rsid w:val="009F1814"/>
    <w:rsid w:val="009F3D10"/>
    <w:rsid w:val="009F62EE"/>
    <w:rsid w:val="009F6EB9"/>
    <w:rsid w:val="009F6EE2"/>
    <w:rsid w:val="009F6EF0"/>
    <w:rsid w:val="009F7844"/>
    <w:rsid w:val="00A005FA"/>
    <w:rsid w:val="00A023E5"/>
    <w:rsid w:val="00A03232"/>
    <w:rsid w:val="00A03BC1"/>
    <w:rsid w:val="00A0508F"/>
    <w:rsid w:val="00A05D27"/>
    <w:rsid w:val="00A06349"/>
    <w:rsid w:val="00A0694F"/>
    <w:rsid w:val="00A1064A"/>
    <w:rsid w:val="00A11296"/>
    <w:rsid w:val="00A15457"/>
    <w:rsid w:val="00A159C6"/>
    <w:rsid w:val="00A20285"/>
    <w:rsid w:val="00A22315"/>
    <w:rsid w:val="00A23C95"/>
    <w:rsid w:val="00A24BC9"/>
    <w:rsid w:val="00A2564D"/>
    <w:rsid w:val="00A26257"/>
    <w:rsid w:val="00A26D21"/>
    <w:rsid w:val="00A2714E"/>
    <w:rsid w:val="00A31811"/>
    <w:rsid w:val="00A3284D"/>
    <w:rsid w:val="00A34CD2"/>
    <w:rsid w:val="00A3549D"/>
    <w:rsid w:val="00A354DC"/>
    <w:rsid w:val="00A36C22"/>
    <w:rsid w:val="00A36FA6"/>
    <w:rsid w:val="00A40448"/>
    <w:rsid w:val="00A4208E"/>
    <w:rsid w:val="00A4229A"/>
    <w:rsid w:val="00A43942"/>
    <w:rsid w:val="00A45004"/>
    <w:rsid w:val="00A466BC"/>
    <w:rsid w:val="00A47E05"/>
    <w:rsid w:val="00A527FF"/>
    <w:rsid w:val="00A53822"/>
    <w:rsid w:val="00A54190"/>
    <w:rsid w:val="00A570B8"/>
    <w:rsid w:val="00A605EE"/>
    <w:rsid w:val="00A63691"/>
    <w:rsid w:val="00A65990"/>
    <w:rsid w:val="00A70A7D"/>
    <w:rsid w:val="00A7114F"/>
    <w:rsid w:val="00A72C7A"/>
    <w:rsid w:val="00A7412F"/>
    <w:rsid w:val="00A74216"/>
    <w:rsid w:val="00A74E0A"/>
    <w:rsid w:val="00A75E52"/>
    <w:rsid w:val="00A77D9B"/>
    <w:rsid w:val="00A83539"/>
    <w:rsid w:val="00A83A0C"/>
    <w:rsid w:val="00A85656"/>
    <w:rsid w:val="00A85B24"/>
    <w:rsid w:val="00A90934"/>
    <w:rsid w:val="00A9247E"/>
    <w:rsid w:val="00A94FB8"/>
    <w:rsid w:val="00A95583"/>
    <w:rsid w:val="00AA0B5B"/>
    <w:rsid w:val="00AA0BF4"/>
    <w:rsid w:val="00AA3455"/>
    <w:rsid w:val="00AA38C5"/>
    <w:rsid w:val="00AA3FF0"/>
    <w:rsid w:val="00AA4688"/>
    <w:rsid w:val="00AA5369"/>
    <w:rsid w:val="00AB073B"/>
    <w:rsid w:val="00AB119F"/>
    <w:rsid w:val="00AB2506"/>
    <w:rsid w:val="00AB369E"/>
    <w:rsid w:val="00AB406B"/>
    <w:rsid w:val="00AB515F"/>
    <w:rsid w:val="00AB6CA6"/>
    <w:rsid w:val="00AB7AC5"/>
    <w:rsid w:val="00AB7E74"/>
    <w:rsid w:val="00AC0C24"/>
    <w:rsid w:val="00AC1A36"/>
    <w:rsid w:val="00AC51C9"/>
    <w:rsid w:val="00AC7737"/>
    <w:rsid w:val="00AC7EDB"/>
    <w:rsid w:val="00AD6FF0"/>
    <w:rsid w:val="00AE01C7"/>
    <w:rsid w:val="00AE158A"/>
    <w:rsid w:val="00AE67FD"/>
    <w:rsid w:val="00AE6FFF"/>
    <w:rsid w:val="00AF2CFE"/>
    <w:rsid w:val="00AF2F51"/>
    <w:rsid w:val="00AF4FF2"/>
    <w:rsid w:val="00AF5F5B"/>
    <w:rsid w:val="00AF7FB7"/>
    <w:rsid w:val="00B040CA"/>
    <w:rsid w:val="00B0516A"/>
    <w:rsid w:val="00B052AC"/>
    <w:rsid w:val="00B07BAB"/>
    <w:rsid w:val="00B11466"/>
    <w:rsid w:val="00B13BBF"/>
    <w:rsid w:val="00B1581B"/>
    <w:rsid w:val="00B20255"/>
    <w:rsid w:val="00B205BD"/>
    <w:rsid w:val="00B20763"/>
    <w:rsid w:val="00B24951"/>
    <w:rsid w:val="00B30A77"/>
    <w:rsid w:val="00B3107E"/>
    <w:rsid w:val="00B35BC8"/>
    <w:rsid w:val="00B35BE6"/>
    <w:rsid w:val="00B362FD"/>
    <w:rsid w:val="00B370A8"/>
    <w:rsid w:val="00B4349A"/>
    <w:rsid w:val="00B447E2"/>
    <w:rsid w:val="00B4744A"/>
    <w:rsid w:val="00B47C2E"/>
    <w:rsid w:val="00B47C41"/>
    <w:rsid w:val="00B507AB"/>
    <w:rsid w:val="00B5107B"/>
    <w:rsid w:val="00B520DA"/>
    <w:rsid w:val="00B5382A"/>
    <w:rsid w:val="00B53DBB"/>
    <w:rsid w:val="00B543D3"/>
    <w:rsid w:val="00B54F04"/>
    <w:rsid w:val="00B557AF"/>
    <w:rsid w:val="00B56BDD"/>
    <w:rsid w:val="00B571D5"/>
    <w:rsid w:val="00B61E3B"/>
    <w:rsid w:val="00B62FFD"/>
    <w:rsid w:val="00B647AC"/>
    <w:rsid w:val="00B64D91"/>
    <w:rsid w:val="00B715D4"/>
    <w:rsid w:val="00B73355"/>
    <w:rsid w:val="00B73D98"/>
    <w:rsid w:val="00B74A47"/>
    <w:rsid w:val="00B75020"/>
    <w:rsid w:val="00B75B27"/>
    <w:rsid w:val="00B75BE2"/>
    <w:rsid w:val="00B76BD4"/>
    <w:rsid w:val="00B828AE"/>
    <w:rsid w:val="00B83A83"/>
    <w:rsid w:val="00B84A89"/>
    <w:rsid w:val="00B8755E"/>
    <w:rsid w:val="00B91336"/>
    <w:rsid w:val="00B932C9"/>
    <w:rsid w:val="00B9434D"/>
    <w:rsid w:val="00B9441A"/>
    <w:rsid w:val="00B95CB4"/>
    <w:rsid w:val="00B97E43"/>
    <w:rsid w:val="00BA08E3"/>
    <w:rsid w:val="00BA3494"/>
    <w:rsid w:val="00BA365D"/>
    <w:rsid w:val="00BA395A"/>
    <w:rsid w:val="00BB0208"/>
    <w:rsid w:val="00BB0F9A"/>
    <w:rsid w:val="00BB1A8A"/>
    <w:rsid w:val="00BB1C0D"/>
    <w:rsid w:val="00BB26BB"/>
    <w:rsid w:val="00BB48BD"/>
    <w:rsid w:val="00BB6098"/>
    <w:rsid w:val="00BC2D7E"/>
    <w:rsid w:val="00BC5557"/>
    <w:rsid w:val="00BC55C8"/>
    <w:rsid w:val="00BC5C73"/>
    <w:rsid w:val="00BD0F9C"/>
    <w:rsid w:val="00BD39DD"/>
    <w:rsid w:val="00BD44D3"/>
    <w:rsid w:val="00BD6377"/>
    <w:rsid w:val="00BD668D"/>
    <w:rsid w:val="00BE06AA"/>
    <w:rsid w:val="00BE146C"/>
    <w:rsid w:val="00BE231B"/>
    <w:rsid w:val="00BE480C"/>
    <w:rsid w:val="00BE5256"/>
    <w:rsid w:val="00BE541F"/>
    <w:rsid w:val="00BE6808"/>
    <w:rsid w:val="00BF0284"/>
    <w:rsid w:val="00BF246F"/>
    <w:rsid w:val="00BF25FE"/>
    <w:rsid w:val="00BF3FB0"/>
    <w:rsid w:val="00BF611E"/>
    <w:rsid w:val="00BF7013"/>
    <w:rsid w:val="00BF7554"/>
    <w:rsid w:val="00C00E91"/>
    <w:rsid w:val="00C01D52"/>
    <w:rsid w:val="00C053B8"/>
    <w:rsid w:val="00C0630C"/>
    <w:rsid w:val="00C07C8F"/>
    <w:rsid w:val="00C1026B"/>
    <w:rsid w:val="00C147F8"/>
    <w:rsid w:val="00C173EC"/>
    <w:rsid w:val="00C21096"/>
    <w:rsid w:val="00C21A17"/>
    <w:rsid w:val="00C22E66"/>
    <w:rsid w:val="00C24307"/>
    <w:rsid w:val="00C243E4"/>
    <w:rsid w:val="00C24A67"/>
    <w:rsid w:val="00C25C8F"/>
    <w:rsid w:val="00C323E2"/>
    <w:rsid w:val="00C33F27"/>
    <w:rsid w:val="00C360E1"/>
    <w:rsid w:val="00C37B76"/>
    <w:rsid w:val="00C41CF2"/>
    <w:rsid w:val="00C42164"/>
    <w:rsid w:val="00C4469D"/>
    <w:rsid w:val="00C45127"/>
    <w:rsid w:val="00C4516F"/>
    <w:rsid w:val="00C45A08"/>
    <w:rsid w:val="00C46C84"/>
    <w:rsid w:val="00C4777E"/>
    <w:rsid w:val="00C5001B"/>
    <w:rsid w:val="00C514BD"/>
    <w:rsid w:val="00C54E7B"/>
    <w:rsid w:val="00C550A6"/>
    <w:rsid w:val="00C56FAD"/>
    <w:rsid w:val="00C57E2C"/>
    <w:rsid w:val="00C620DC"/>
    <w:rsid w:val="00C6348A"/>
    <w:rsid w:val="00C639BB"/>
    <w:rsid w:val="00C64E79"/>
    <w:rsid w:val="00C66122"/>
    <w:rsid w:val="00C71646"/>
    <w:rsid w:val="00C752E0"/>
    <w:rsid w:val="00C7563B"/>
    <w:rsid w:val="00C75BEC"/>
    <w:rsid w:val="00C81C5A"/>
    <w:rsid w:val="00C8363B"/>
    <w:rsid w:val="00C8469D"/>
    <w:rsid w:val="00C85C03"/>
    <w:rsid w:val="00C86CE7"/>
    <w:rsid w:val="00C9052A"/>
    <w:rsid w:val="00C91D2B"/>
    <w:rsid w:val="00C930F1"/>
    <w:rsid w:val="00C931A9"/>
    <w:rsid w:val="00C932B6"/>
    <w:rsid w:val="00C93758"/>
    <w:rsid w:val="00C93834"/>
    <w:rsid w:val="00C94E74"/>
    <w:rsid w:val="00C95C73"/>
    <w:rsid w:val="00C9660E"/>
    <w:rsid w:val="00C96B5C"/>
    <w:rsid w:val="00CA0603"/>
    <w:rsid w:val="00CA09CD"/>
    <w:rsid w:val="00CA0A9B"/>
    <w:rsid w:val="00CA169C"/>
    <w:rsid w:val="00CA1AAD"/>
    <w:rsid w:val="00CA27EC"/>
    <w:rsid w:val="00CA720B"/>
    <w:rsid w:val="00CB2C0A"/>
    <w:rsid w:val="00CB31BD"/>
    <w:rsid w:val="00CB556D"/>
    <w:rsid w:val="00CB57F1"/>
    <w:rsid w:val="00CB58BA"/>
    <w:rsid w:val="00CB79BB"/>
    <w:rsid w:val="00CC02D5"/>
    <w:rsid w:val="00CC2A84"/>
    <w:rsid w:val="00CD3147"/>
    <w:rsid w:val="00CD6B39"/>
    <w:rsid w:val="00CD7817"/>
    <w:rsid w:val="00CE0760"/>
    <w:rsid w:val="00CE08D0"/>
    <w:rsid w:val="00CE17EA"/>
    <w:rsid w:val="00CE464F"/>
    <w:rsid w:val="00CE4E3A"/>
    <w:rsid w:val="00CE6642"/>
    <w:rsid w:val="00CF3237"/>
    <w:rsid w:val="00CF5279"/>
    <w:rsid w:val="00CF6ED2"/>
    <w:rsid w:val="00CF7D8A"/>
    <w:rsid w:val="00D00711"/>
    <w:rsid w:val="00D00817"/>
    <w:rsid w:val="00D01056"/>
    <w:rsid w:val="00D02782"/>
    <w:rsid w:val="00D02868"/>
    <w:rsid w:val="00D10530"/>
    <w:rsid w:val="00D16E34"/>
    <w:rsid w:val="00D260DB"/>
    <w:rsid w:val="00D265D0"/>
    <w:rsid w:val="00D268B0"/>
    <w:rsid w:val="00D27181"/>
    <w:rsid w:val="00D27794"/>
    <w:rsid w:val="00D30793"/>
    <w:rsid w:val="00D30F3D"/>
    <w:rsid w:val="00D32A31"/>
    <w:rsid w:val="00D3463D"/>
    <w:rsid w:val="00D34EEF"/>
    <w:rsid w:val="00D354A0"/>
    <w:rsid w:val="00D37A5B"/>
    <w:rsid w:val="00D37F87"/>
    <w:rsid w:val="00D401BA"/>
    <w:rsid w:val="00D40347"/>
    <w:rsid w:val="00D443BE"/>
    <w:rsid w:val="00D5011B"/>
    <w:rsid w:val="00D51D6F"/>
    <w:rsid w:val="00D527AB"/>
    <w:rsid w:val="00D538CF"/>
    <w:rsid w:val="00D545E4"/>
    <w:rsid w:val="00D66222"/>
    <w:rsid w:val="00D66A4F"/>
    <w:rsid w:val="00D6718D"/>
    <w:rsid w:val="00D67DB5"/>
    <w:rsid w:val="00D70508"/>
    <w:rsid w:val="00D712B3"/>
    <w:rsid w:val="00D7171E"/>
    <w:rsid w:val="00D7297C"/>
    <w:rsid w:val="00D731ED"/>
    <w:rsid w:val="00D75AB1"/>
    <w:rsid w:val="00D75B01"/>
    <w:rsid w:val="00D82546"/>
    <w:rsid w:val="00D86AF6"/>
    <w:rsid w:val="00D93539"/>
    <w:rsid w:val="00D94DDA"/>
    <w:rsid w:val="00D97C0F"/>
    <w:rsid w:val="00DA03E8"/>
    <w:rsid w:val="00DA16A9"/>
    <w:rsid w:val="00DA1B6F"/>
    <w:rsid w:val="00DB57C4"/>
    <w:rsid w:val="00DB58AE"/>
    <w:rsid w:val="00DB5BBD"/>
    <w:rsid w:val="00DB6E35"/>
    <w:rsid w:val="00DC0E3A"/>
    <w:rsid w:val="00DC1B43"/>
    <w:rsid w:val="00DC2F57"/>
    <w:rsid w:val="00DD1F66"/>
    <w:rsid w:val="00DE0DCE"/>
    <w:rsid w:val="00DE32A4"/>
    <w:rsid w:val="00DE4519"/>
    <w:rsid w:val="00DE45A5"/>
    <w:rsid w:val="00DE61B0"/>
    <w:rsid w:val="00DE7357"/>
    <w:rsid w:val="00DE756D"/>
    <w:rsid w:val="00DE77D9"/>
    <w:rsid w:val="00DF083F"/>
    <w:rsid w:val="00DF37D7"/>
    <w:rsid w:val="00DF4437"/>
    <w:rsid w:val="00DF5C37"/>
    <w:rsid w:val="00DF6EBC"/>
    <w:rsid w:val="00DF7096"/>
    <w:rsid w:val="00DF78FF"/>
    <w:rsid w:val="00E02172"/>
    <w:rsid w:val="00E042C5"/>
    <w:rsid w:val="00E050F1"/>
    <w:rsid w:val="00E06DB0"/>
    <w:rsid w:val="00E10BDF"/>
    <w:rsid w:val="00E12481"/>
    <w:rsid w:val="00E1412F"/>
    <w:rsid w:val="00E14233"/>
    <w:rsid w:val="00E14588"/>
    <w:rsid w:val="00E16673"/>
    <w:rsid w:val="00E21213"/>
    <w:rsid w:val="00E21C1E"/>
    <w:rsid w:val="00E22093"/>
    <w:rsid w:val="00E25890"/>
    <w:rsid w:val="00E30CF9"/>
    <w:rsid w:val="00E316D6"/>
    <w:rsid w:val="00E32E52"/>
    <w:rsid w:val="00E33E93"/>
    <w:rsid w:val="00E35020"/>
    <w:rsid w:val="00E401E9"/>
    <w:rsid w:val="00E4038F"/>
    <w:rsid w:val="00E440B3"/>
    <w:rsid w:val="00E4489C"/>
    <w:rsid w:val="00E4521A"/>
    <w:rsid w:val="00E4765D"/>
    <w:rsid w:val="00E47AEC"/>
    <w:rsid w:val="00E47CCC"/>
    <w:rsid w:val="00E5025C"/>
    <w:rsid w:val="00E522D4"/>
    <w:rsid w:val="00E553D7"/>
    <w:rsid w:val="00E56E65"/>
    <w:rsid w:val="00E62173"/>
    <w:rsid w:val="00E6283C"/>
    <w:rsid w:val="00E62B41"/>
    <w:rsid w:val="00E65708"/>
    <w:rsid w:val="00E727E8"/>
    <w:rsid w:val="00E72833"/>
    <w:rsid w:val="00E747B6"/>
    <w:rsid w:val="00E74BB0"/>
    <w:rsid w:val="00E82A34"/>
    <w:rsid w:val="00E84C6F"/>
    <w:rsid w:val="00E85C50"/>
    <w:rsid w:val="00E8626A"/>
    <w:rsid w:val="00E9021A"/>
    <w:rsid w:val="00E903EC"/>
    <w:rsid w:val="00E93A24"/>
    <w:rsid w:val="00EA1AEA"/>
    <w:rsid w:val="00EA51A2"/>
    <w:rsid w:val="00EA5B2B"/>
    <w:rsid w:val="00EB02F5"/>
    <w:rsid w:val="00EB06C3"/>
    <w:rsid w:val="00EB34C6"/>
    <w:rsid w:val="00EC0E62"/>
    <w:rsid w:val="00EC21DE"/>
    <w:rsid w:val="00EC2D0A"/>
    <w:rsid w:val="00EC3163"/>
    <w:rsid w:val="00EC358A"/>
    <w:rsid w:val="00EC680A"/>
    <w:rsid w:val="00EC79D0"/>
    <w:rsid w:val="00ED15EA"/>
    <w:rsid w:val="00ED2159"/>
    <w:rsid w:val="00ED64F5"/>
    <w:rsid w:val="00EE237C"/>
    <w:rsid w:val="00EE2FCA"/>
    <w:rsid w:val="00EE383E"/>
    <w:rsid w:val="00EE547E"/>
    <w:rsid w:val="00EE5E23"/>
    <w:rsid w:val="00EE7932"/>
    <w:rsid w:val="00EE7CB3"/>
    <w:rsid w:val="00EF1B8C"/>
    <w:rsid w:val="00EF324A"/>
    <w:rsid w:val="00EF40EB"/>
    <w:rsid w:val="00EF532B"/>
    <w:rsid w:val="00EF584F"/>
    <w:rsid w:val="00EF6170"/>
    <w:rsid w:val="00EF6780"/>
    <w:rsid w:val="00F00EB2"/>
    <w:rsid w:val="00F0168E"/>
    <w:rsid w:val="00F05268"/>
    <w:rsid w:val="00F07EBB"/>
    <w:rsid w:val="00F16DCF"/>
    <w:rsid w:val="00F178E3"/>
    <w:rsid w:val="00F17AFE"/>
    <w:rsid w:val="00F22B31"/>
    <w:rsid w:val="00F25D6F"/>
    <w:rsid w:val="00F3195B"/>
    <w:rsid w:val="00F3269D"/>
    <w:rsid w:val="00F407E3"/>
    <w:rsid w:val="00F40A40"/>
    <w:rsid w:val="00F43A48"/>
    <w:rsid w:val="00F53FB9"/>
    <w:rsid w:val="00F5761F"/>
    <w:rsid w:val="00F57827"/>
    <w:rsid w:val="00F57DA5"/>
    <w:rsid w:val="00F600B8"/>
    <w:rsid w:val="00F61CB8"/>
    <w:rsid w:val="00F65971"/>
    <w:rsid w:val="00F7188C"/>
    <w:rsid w:val="00F732AB"/>
    <w:rsid w:val="00F7478D"/>
    <w:rsid w:val="00F82CA2"/>
    <w:rsid w:val="00F85298"/>
    <w:rsid w:val="00F9306F"/>
    <w:rsid w:val="00F930C9"/>
    <w:rsid w:val="00F9473E"/>
    <w:rsid w:val="00F952C0"/>
    <w:rsid w:val="00F9727F"/>
    <w:rsid w:val="00F97F24"/>
    <w:rsid w:val="00FA0761"/>
    <w:rsid w:val="00FA1451"/>
    <w:rsid w:val="00FA1711"/>
    <w:rsid w:val="00FA6036"/>
    <w:rsid w:val="00FA7340"/>
    <w:rsid w:val="00FB1F4C"/>
    <w:rsid w:val="00FB2524"/>
    <w:rsid w:val="00FB4C9B"/>
    <w:rsid w:val="00FB78CD"/>
    <w:rsid w:val="00FC3E9E"/>
    <w:rsid w:val="00FC3FA6"/>
    <w:rsid w:val="00FC582F"/>
    <w:rsid w:val="00FC5C5D"/>
    <w:rsid w:val="00FD0AA7"/>
    <w:rsid w:val="00FD4188"/>
    <w:rsid w:val="00FD5AD7"/>
    <w:rsid w:val="00FE1582"/>
    <w:rsid w:val="00FE238B"/>
    <w:rsid w:val="00FE330B"/>
    <w:rsid w:val="00FE6CFB"/>
    <w:rsid w:val="00FF0FA8"/>
    <w:rsid w:val="00FF1CD9"/>
    <w:rsid w:val="00FF1EE6"/>
    <w:rsid w:val="00FF4F5A"/>
    <w:rsid w:val="00FF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68156"/>
  <w15:chartTrackingRefBased/>
  <w15:docId w15:val="{DA010E52-C08A-46E9-B358-9843CD984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6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736F7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36F73"/>
    <w:pPr>
      <w:widowControl w:val="0"/>
      <w:shd w:val="clear" w:color="auto" w:fill="FFFFFF"/>
      <w:spacing w:before="420" w:after="240" w:line="0" w:lineRule="atLeast"/>
      <w:jc w:val="both"/>
    </w:pPr>
    <w:rPr>
      <w:rFonts w:ascii="Times New Roman" w:eastAsia="Times New Roman" w:hAnsi="Times New Roman" w:cs="Times New Roman"/>
    </w:rPr>
  </w:style>
  <w:style w:type="paragraph" w:styleId="a4">
    <w:name w:val="footnote text"/>
    <w:basedOn w:val="a"/>
    <w:link w:val="a5"/>
    <w:uiPriority w:val="99"/>
    <w:unhideWhenUsed/>
    <w:rsid w:val="0019020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190200"/>
    <w:rPr>
      <w:sz w:val="20"/>
      <w:szCs w:val="20"/>
    </w:rPr>
  </w:style>
  <w:style w:type="character" w:styleId="a6">
    <w:name w:val="footnote reference"/>
    <w:aliases w:val="fr,Used by Word for Help footnote symbols,Знак сноски-FN,Знак сноски 1,Ciae niinee-FN,Referencia nota al pie,ftref,сноска,Знак сноски Даша,вески,Знак сноски1,SUPERS,ХИА_ЗС,Текст сноски Знак2 Знак Знак1,Текст сноски Знак1 Знак Знак Зн"/>
    <w:basedOn w:val="a0"/>
    <w:uiPriority w:val="99"/>
    <w:unhideWhenUsed/>
    <w:qFormat/>
    <w:rsid w:val="00190200"/>
    <w:rPr>
      <w:vertAlign w:val="superscript"/>
    </w:rPr>
  </w:style>
  <w:style w:type="paragraph" w:customStyle="1" w:styleId="Default">
    <w:name w:val="Default"/>
    <w:rsid w:val="001902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footer"/>
    <w:basedOn w:val="a"/>
    <w:link w:val="a8"/>
    <w:uiPriority w:val="99"/>
    <w:rsid w:val="008440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6"/>
      <w:szCs w:val="24"/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84401D"/>
    <w:rPr>
      <w:rFonts w:ascii="Times New Roman" w:eastAsia="Times New Roman" w:hAnsi="Times New Roman" w:cs="Times New Roman"/>
      <w:sz w:val="26"/>
      <w:szCs w:val="24"/>
      <w:lang w:val="x-none" w:eastAsia="x-none"/>
    </w:rPr>
  </w:style>
  <w:style w:type="paragraph" w:styleId="a9">
    <w:name w:val="Balloon Text"/>
    <w:basedOn w:val="a"/>
    <w:link w:val="aa"/>
    <w:uiPriority w:val="99"/>
    <w:semiHidden/>
    <w:unhideWhenUsed/>
    <w:rsid w:val="004A16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A1643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0C5F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C5F73"/>
  </w:style>
  <w:style w:type="character" w:customStyle="1" w:styleId="ad">
    <w:name w:val="Сноска_"/>
    <w:basedOn w:val="a0"/>
    <w:link w:val="ae"/>
    <w:rsid w:val="0079569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f">
    <w:name w:val="Другое_"/>
    <w:basedOn w:val="a0"/>
    <w:link w:val="af0"/>
    <w:rsid w:val="0079569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e">
    <w:name w:val="Сноска"/>
    <w:basedOn w:val="a"/>
    <w:link w:val="ad"/>
    <w:rsid w:val="00795691"/>
    <w:pPr>
      <w:widowControl w:val="0"/>
      <w:shd w:val="clear" w:color="auto" w:fill="FFFFFF"/>
      <w:spacing w:after="0" w:line="247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0">
    <w:name w:val="Другое"/>
    <w:basedOn w:val="a"/>
    <w:link w:val="af"/>
    <w:rsid w:val="00795691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3">
    <w:name w:val="Основной текст (3)_"/>
    <w:basedOn w:val="a0"/>
    <w:link w:val="30"/>
    <w:rsid w:val="00795691"/>
    <w:rPr>
      <w:rFonts w:ascii="Arial" w:eastAsia="Arial" w:hAnsi="Arial" w:cs="Arial"/>
      <w:b/>
      <w:bCs/>
      <w:color w:val="1A3E90"/>
      <w:sz w:val="14"/>
      <w:szCs w:val="1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95691"/>
    <w:pPr>
      <w:widowControl w:val="0"/>
      <w:shd w:val="clear" w:color="auto" w:fill="FFFFFF"/>
      <w:spacing w:after="200" w:line="240" w:lineRule="auto"/>
    </w:pPr>
    <w:rPr>
      <w:rFonts w:ascii="Arial" w:eastAsia="Arial" w:hAnsi="Arial" w:cs="Arial"/>
      <w:b/>
      <w:bCs/>
      <w:color w:val="1A3E90"/>
      <w:sz w:val="14"/>
      <w:szCs w:val="14"/>
    </w:rPr>
  </w:style>
  <w:style w:type="character" w:customStyle="1" w:styleId="af1">
    <w:name w:val="Основной текст_"/>
    <w:basedOn w:val="a0"/>
    <w:link w:val="1"/>
    <w:rsid w:val="00F930C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f1"/>
    <w:rsid w:val="00F930C9"/>
    <w:pPr>
      <w:widowControl w:val="0"/>
      <w:shd w:val="clear" w:color="auto" w:fill="FFFFFF"/>
      <w:spacing w:after="3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2">
    <w:name w:val="Подпись к таблице_"/>
    <w:basedOn w:val="a0"/>
    <w:link w:val="af3"/>
    <w:rsid w:val="00F25D6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3">
    <w:name w:val="Подпись к таблице"/>
    <w:basedOn w:val="a"/>
    <w:link w:val="af2"/>
    <w:rsid w:val="00F25D6F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Колонтитул (2)_"/>
    <w:basedOn w:val="a0"/>
    <w:link w:val="22"/>
    <w:rsid w:val="0009639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Колонтитул (2)"/>
    <w:basedOn w:val="a"/>
    <w:link w:val="21"/>
    <w:rsid w:val="00096395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4">
    <w:name w:val="Normal (Web)"/>
    <w:basedOn w:val="a"/>
    <w:uiPriority w:val="99"/>
    <w:unhideWhenUsed/>
    <w:rsid w:val="008D7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annotation reference"/>
    <w:basedOn w:val="a0"/>
    <w:uiPriority w:val="99"/>
    <w:semiHidden/>
    <w:unhideWhenUsed/>
    <w:rsid w:val="000072D5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0072D5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0072D5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0072D5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0072D5"/>
    <w:rPr>
      <w:b/>
      <w:bCs/>
      <w:sz w:val="20"/>
      <w:szCs w:val="20"/>
    </w:rPr>
  </w:style>
  <w:style w:type="paragraph" w:customStyle="1" w:styleId="ConsPlusNormal">
    <w:name w:val="ConsPlusNormal"/>
    <w:link w:val="ConsPlusNormal0"/>
    <w:rsid w:val="00CD7817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character" w:customStyle="1" w:styleId="ConsPlusNormal0">
    <w:name w:val="ConsPlusNormal Знак"/>
    <w:link w:val="ConsPlusNormal"/>
    <w:rsid w:val="00AA5369"/>
    <w:rPr>
      <w:rFonts w:ascii="Times New Roman" w:eastAsiaTheme="minorEastAsia" w:hAnsi="Times New Roman" w:cs="Times New Roman"/>
      <w:sz w:val="24"/>
      <w:lang w:eastAsia="ru-RU"/>
    </w:rPr>
  </w:style>
  <w:style w:type="paragraph" w:styleId="afa">
    <w:name w:val="List Paragraph"/>
    <w:basedOn w:val="a"/>
    <w:uiPriority w:val="34"/>
    <w:qFormat/>
    <w:rsid w:val="00B64D91"/>
    <w:pPr>
      <w:ind w:left="720"/>
      <w:contextualSpacing/>
    </w:pPr>
  </w:style>
  <w:style w:type="paragraph" w:styleId="afb">
    <w:name w:val="Revision"/>
    <w:hidden/>
    <w:uiPriority w:val="99"/>
    <w:semiHidden/>
    <w:rsid w:val="00AF4FF2"/>
    <w:pPr>
      <w:spacing w:after="0" w:line="240" w:lineRule="auto"/>
    </w:pPr>
  </w:style>
  <w:style w:type="character" w:customStyle="1" w:styleId="4">
    <w:name w:val="Основной текст (4)_"/>
    <w:basedOn w:val="a0"/>
    <w:link w:val="40"/>
    <w:rsid w:val="00DE756D"/>
    <w:rPr>
      <w:rFonts w:ascii="Arial" w:eastAsia="Arial" w:hAnsi="Arial" w:cs="Arial"/>
      <w:b/>
      <w:bCs/>
      <w:color w:val="1A3E90"/>
      <w:sz w:val="14"/>
      <w:szCs w:val="14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E756D"/>
    <w:pPr>
      <w:widowControl w:val="0"/>
      <w:shd w:val="clear" w:color="auto" w:fill="FFFFFF"/>
      <w:spacing w:after="200" w:line="240" w:lineRule="auto"/>
    </w:pPr>
    <w:rPr>
      <w:rFonts w:ascii="Arial" w:eastAsia="Arial" w:hAnsi="Arial" w:cs="Arial"/>
      <w:b/>
      <w:bCs/>
      <w:color w:val="1A3E9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6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03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47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57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09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98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12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3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3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br.ru/na/505-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A86A4-3D9A-48DF-B481-947B34DEC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3097</Words>
  <Characters>17654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Яцеева Мария Сергеевна</dc:creator>
  <cp:keywords/>
  <dc:description/>
  <cp:lastModifiedBy>Сергеева Елена Раффаиловна</cp:lastModifiedBy>
  <cp:revision>7</cp:revision>
  <cp:lastPrinted>2025-11-10T14:28:00Z</cp:lastPrinted>
  <dcterms:created xsi:type="dcterms:W3CDTF">2025-11-19T10:39:00Z</dcterms:created>
  <dcterms:modified xsi:type="dcterms:W3CDTF">2025-11-25T08:00:00Z</dcterms:modified>
</cp:coreProperties>
</file>