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54" w:rsidRPr="00253869" w:rsidRDefault="003F5454" w:rsidP="003F5454">
      <w:pPr>
        <w:pStyle w:val="20"/>
        <w:shd w:val="clear" w:color="auto" w:fill="auto"/>
        <w:spacing w:after="0" w:line="360" w:lineRule="auto"/>
        <w:ind w:left="6096" w:hanging="543"/>
      </w:pPr>
      <w:r w:rsidRPr="00253869">
        <w:t>Вносится Правительством Российской Федерации</w:t>
      </w:r>
    </w:p>
    <w:p w:rsidR="003F5454" w:rsidRPr="00253869" w:rsidRDefault="003F5454" w:rsidP="003F5454">
      <w:pPr>
        <w:pStyle w:val="20"/>
        <w:shd w:val="clear" w:color="auto" w:fill="auto"/>
        <w:spacing w:after="0" w:line="360" w:lineRule="auto"/>
        <w:ind w:left="6096" w:hanging="543"/>
      </w:pPr>
      <w:r w:rsidRPr="00253869">
        <w:t>Проект</w:t>
      </w:r>
    </w:p>
    <w:p w:rsidR="003F5454" w:rsidRPr="00253869" w:rsidRDefault="003F5454" w:rsidP="003F5454">
      <w:pPr>
        <w:pStyle w:val="30"/>
        <w:shd w:val="clear" w:color="auto" w:fill="auto"/>
        <w:spacing w:before="0" w:after="0" w:line="360" w:lineRule="auto"/>
        <w:ind w:right="20"/>
        <w:rPr>
          <w:b w:val="0"/>
        </w:rPr>
      </w:pPr>
    </w:p>
    <w:p w:rsidR="003F5454" w:rsidRPr="00253869" w:rsidRDefault="003F5454" w:rsidP="003F5454">
      <w:pPr>
        <w:pStyle w:val="30"/>
        <w:shd w:val="clear" w:color="auto" w:fill="auto"/>
        <w:spacing w:before="0" w:after="0" w:line="360" w:lineRule="auto"/>
        <w:ind w:right="20"/>
        <w:rPr>
          <w:b w:val="0"/>
        </w:rPr>
      </w:pPr>
    </w:p>
    <w:p w:rsidR="003F5454" w:rsidRPr="00253869" w:rsidRDefault="003F5454" w:rsidP="003F5454">
      <w:pPr>
        <w:pStyle w:val="30"/>
        <w:shd w:val="clear" w:color="auto" w:fill="auto"/>
        <w:spacing w:before="0" w:after="0" w:line="360" w:lineRule="auto"/>
        <w:ind w:right="20"/>
        <w:rPr>
          <w:b w:val="0"/>
        </w:rPr>
      </w:pPr>
    </w:p>
    <w:p w:rsidR="003F5454" w:rsidRDefault="003F5454" w:rsidP="003F5454">
      <w:pPr>
        <w:pStyle w:val="30"/>
        <w:shd w:val="clear" w:color="auto" w:fill="auto"/>
        <w:spacing w:before="0" w:after="0" w:line="360" w:lineRule="auto"/>
        <w:ind w:right="20"/>
        <w:rPr>
          <w:b w:val="0"/>
        </w:rPr>
      </w:pPr>
    </w:p>
    <w:p w:rsidR="00397FEC" w:rsidRPr="00253869" w:rsidRDefault="00397FEC" w:rsidP="003F5454">
      <w:pPr>
        <w:pStyle w:val="30"/>
        <w:shd w:val="clear" w:color="auto" w:fill="auto"/>
        <w:spacing w:before="0" w:after="0" w:line="360" w:lineRule="auto"/>
        <w:ind w:right="20"/>
        <w:rPr>
          <w:b w:val="0"/>
        </w:rPr>
      </w:pPr>
    </w:p>
    <w:p w:rsidR="003F5454" w:rsidRPr="00253869" w:rsidRDefault="003F5454" w:rsidP="003F5454">
      <w:pPr>
        <w:pStyle w:val="30"/>
        <w:shd w:val="clear" w:color="auto" w:fill="auto"/>
        <w:spacing w:before="0" w:after="0" w:line="360" w:lineRule="auto"/>
        <w:ind w:right="23"/>
      </w:pPr>
      <w:r w:rsidRPr="00253869">
        <w:t>ФЕДЕРАЛЬНЫЙ ЗАКОН</w:t>
      </w:r>
    </w:p>
    <w:p w:rsidR="003F5454" w:rsidRDefault="003F5454" w:rsidP="003F5454">
      <w:pPr>
        <w:pStyle w:val="30"/>
        <w:spacing w:before="0" w:after="0" w:line="360" w:lineRule="auto"/>
        <w:ind w:right="23"/>
      </w:pPr>
      <w:r w:rsidRPr="00253869">
        <w:t xml:space="preserve">О внесении изменений в </w:t>
      </w:r>
      <w:r>
        <w:t>отдельные законодательные акты</w:t>
      </w:r>
    </w:p>
    <w:p w:rsidR="003F5454" w:rsidRDefault="003F5454" w:rsidP="003F5454">
      <w:pPr>
        <w:pStyle w:val="30"/>
        <w:shd w:val="clear" w:color="auto" w:fill="auto"/>
        <w:spacing w:before="0" w:after="0" w:line="360" w:lineRule="auto"/>
        <w:ind w:right="23"/>
      </w:pPr>
      <w:r>
        <w:t>Российской Федерации</w:t>
      </w:r>
      <w:r w:rsidRPr="00253869">
        <w:t xml:space="preserve"> (в части определения по</w:t>
      </w:r>
      <w:r w:rsidR="00FF1A4F">
        <w:t>рядка доставки</w:t>
      </w:r>
      <w:r w:rsidR="00FF1A4F">
        <w:br/>
        <w:t xml:space="preserve">страховых пенсий </w:t>
      </w:r>
      <w:r w:rsidRPr="00253869">
        <w:t>кредитны</w:t>
      </w:r>
      <w:r w:rsidR="00FF1A4F">
        <w:t>ми</w:t>
      </w:r>
      <w:r w:rsidRPr="00253869">
        <w:t xml:space="preserve"> организаци</w:t>
      </w:r>
      <w:r w:rsidR="00FF1A4F">
        <w:t>ями</w:t>
      </w:r>
      <w:r w:rsidRPr="00253869">
        <w:t>)</w:t>
      </w:r>
    </w:p>
    <w:p w:rsidR="003F5454" w:rsidRDefault="003F5454" w:rsidP="003F5454">
      <w:pPr>
        <w:pStyle w:val="30"/>
        <w:shd w:val="clear" w:color="auto" w:fill="auto"/>
        <w:spacing w:before="0" w:after="0" w:line="360" w:lineRule="auto"/>
        <w:ind w:right="20"/>
      </w:pPr>
    </w:p>
    <w:p w:rsidR="003F5454" w:rsidRDefault="003F5454" w:rsidP="003F54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F5454" w:rsidRPr="003F5454" w:rsidRDefault="003F5454" w:rsidP="003F54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454" w:rsidRDefault="003F5454" w:rsidP="003F5454">
      <w:pPr>
        <w:pStyle w:val="20"/>
        <w:shd w:val="clear" w:color="auto" w:fill="auto"/>
        <w:spacing w:after="0" w:line="360" w:lineRule="auto"/>
        <w:ind w:firstLine="708"/>
        <w:jc w:val="both"/>
      </w:pPr>
      <w:r w:rsidRPr="00253869">
        <w:t>Внести в Федеральный закон о</w:t>
      </w:r>
      <w:r>
        <w:t>т 28 декабря 2</w:t>
      </w:r>
      <w:bookmarkStart w:id="0" w:name="_GoBack"/>
      <w:bookmarkEnd w:id="0"/>
      <w:r>
        <w:t>013 года № 400-</w:t>
      </w:r>
      <w:proofErr w:type="gramStart"/>
      <w:r>
        <w:t>ФЗ</w:t>
      </w:r>
      <w:r>
        <w:br/>
      </w:r>
      <w:r w:rsidRPr="00253869">
        <w:t>«</w:t>
      </w:r>
      <w:proofErr w:type="gramEnd"/>
      <w:r w:rsidRPr="00253869">
        <w:t>О страховых пенсиях» (</w:t>
      </w:r>
      <w:r w:rsidRPr="00AB45F1">
        <w:t xml:space="preserve">Собрание законодательства Российской Федерации, 2013, № 52, ст. 6965; 2014, № 2 (поправка); 2016, № 1, ст. 5; № 22, ст. 3091; № 27, ст. 4138; 2017, № 27, ст. 3931; 2018, № 11, ст. 1591; </w:t>
      </w:r>
      <w:r w:rsidR="00AB45F1" w:rsidRPr="00AB45F1">
        <w:t>№ 41, ст. 6190; № 47, ст. 7130</w:t>
      </w:r>
      <w:r w:rsidRPr="00AB45F1">
        <w:t>) следующие</w:t>
      </w:r>
      <w:r w:rsidRPr="00253869">
        <w:t xml:space="preserve"> изменения:</w:t>
      </w:r>
    </w:p>
    <w:p w:rsidR="003F5454" w:rsidRPr="00253869" w:rsidRDefault="003F5454" w:rsidP="003F545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60"/>
        <w:jc w:val="both"/>
      </w:pPr>
      <w:r w:rsidRPr="00253869">
        <w:t>в статье 21:</w:t>
      </w:r>
    </w:p>
    <w:p w:rsidR="003F5454" w:rsidRPr="00253869" w:rsidRDefault="003F5454" w:rsidP="003F5454">
      <w:pPr>
        <w:pStyle w:val="20"/>
        <w:shd w:val="clear" w:color="auto" w:fill="auto"/>
        <w:tabs>
          <w:tab w:val="left" w:pos="1141"/>
        </w:tabs>
        <w:spacing w:after="0" w:line="360" w:lineRule="auto"/>
        <w:ind w:firstLine="760"/>
        <w:jc w:val="both"/>
      </w:pPr>
      <w:r w:rsidRPr="00253869">
        <w:t>а)</w:t>
      </w:r>
      <w:r w:rsidR="00397FEC">
        <w:t xml:space="preserve"> </w:t>
      </w:r>
      <w:r w:rsidRPr="00253869">
        <w:t>дополнить частью 13.1 следующего содержания:</w:t>
      </w:r>
    </w:p>
    <w:p w:rsidR="003F5454" w:rsidRPr="00253869" w:rsidRDefault="003F5454" w:rsidP="003F5454">
      <w:pPr>
        <w:pStyle w:val="20"/>
        <w:shd w:val="clear" w:color="auto" w:fill="auto"/>
        <w:spacing w:after="0" w:line="360" w:lineRule="auto"/>
        <w:ind w:firstLine="760"/>
        <w:jc w:val="both"/>
      </w:pPr>
      <w:r w:rsidRPr="00253869">
        <w:t>«13.1. Доставка страховых пенсий через кредитные организации осуществляется в порядке, установленном статьей 21.1 настоящего Федерального закона.»;</w:t>
      </w:r>
    </w:p>
    <w:p w:rsidR="003F5454" w:rsidRDefault="00397FEC" w:rsidP="003F5454">
      <w:pPr>
        <w:pStyle w:val="20"/>
        <w:shd w:val="clear" w:color="auto" w:fill="auto"/>
        <w:tabs>
          <w:tab w:val="left" w:pos="1101"/>
        </w:tabs>
        <w:spacing w:after="0" w:line="360" w:lineRule="auto"/>
        <w:ind w:firstLine="760"/>
        <w:jc w:val="both"/>
      </w:pPr>
      <w:r>
        <w:t xml:space="preserve">б) </w:t>
      </w:r>
      <w:r w:rsidR="003F5454" w:rsidRPr="00253869">
        <w:t>в части 14 после слова «пенсии» добавить слова «(за исключением кредитной организации)»;</w:t>
      </w:r>
    </w:p>
    <w:p w:rsidR="003F5454" w:rsidRPr="00253869" w:rsidRDefault="003F5454" w:rsidP="003F5454">
      <w:pPr>
        <w:pStyle w:val="20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360" w:lineRule="auto"/>
        <w:ind w:firstLine="760"/>
        <w:jc w:val="both"/>
      </w:pPr>
      <w:r w:rsidRPr="00253869">
        <w:t>дополнить статьей 21.1 следующего содержания:</w:t>
      </w:r>
    </w:p>
    <w:p w:rsidR="003F5454" w:rsidRDefault="003F5454" w:rsidP="003F5454">
      <w:pPr>
        <w:pStyle w:val="20"/>
        <w:shd w:val="clear" w:color="auto" w:fill="auto"/>
        <w:spacing w:after="0" w:line="360" w:lineRule="auto"/>
        <w:ind w:firstLine="760"/>
        <w:jc w:val="both"/>
      </w:pPr>
      <w:r w:rsidRPr="00253869">
        <w:t>«Статья 21.1. Порядок доставки страховых пенсий кредитными организациями</w:t>
      </w:r>
      <w:r>
        <w:t>.</w:t>
      </w:r>
    </w:p>
    <w:p w:rsidR="00F07CB5" w:rsidRDefault="00F07CB5" w:rsidP="00F07CB5">
      <w:pPr>
        <w:pStyle w:val="20"/>
        <w:shd w:val="clear" w:color="auto" w:fill="auto"/>
        <w:spacing w:after="0" w:line="360" w:lineRule="auto"/>
        <w:ind w:firstLine="760"/>
        <w:jc w:val="both"/>
      </w:pPr>
      <w:r>
        <w:lastRenderedPageBreak/>
        <w:t xml:space="preserve">1. </w:t>
      </w:r>
      <w:r w:rsidRPr="004E0E9A">
        <w:t xml:space="preserve">Кредитная организация </w:t>
      </w:r>
      <w:r w:rsidRPr="00253869">
        <w:t>осуществляет зачисление сумм страховых пенсий на счета пенсионеров</w:t>
      </w:r>
      <w:r w:rsidR="00AF535C">
        <w:t xml:space="preserve"> согласно спискам получателей пенсий, изъявивших желание получать пенсию на счет в данной кредитной организации, полученным от органа, осуществляющего пенсионное обеспечение, </w:t>
      </w:r>
      <w:r>
        <w:t xml:space="preserve">а также </w:t>
      </w:r>
      <w:r w:rsidRPr="00DC0FFC">
        <w:t>несет ответственность за неисполнение своих обязательств по зачислению на счета пенсионеров денежных средств, поступивших для пенсионера от органа, осуществляющего пенсионного обеспечение,</w:t>
      </w:r>
      <w:r>
        <w:t xml:space="preserve"> в соответствии с Гражданским кодексом Российской Федерации.</w:t>
      </w:r>
    </w:p>
    <w:p w:rsidR="00F07CB5" w:rsidRPr="00F07CB5" w:rsidRDefault="00F07CB5" w:rsidP="00F07C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B5">
        <w:rPr>
          <w:rFonts w:ascii="Times New Roman" w:eastAsia="Times New Roman" w:hAnsi="Times New Roman" w:cs="Times New Roman"/>
          <w:sz w:val="28"/>
          <w:szCs w:val="28"/>
        </w:rPr>
        <w:t>2. Кредитная организация информирует орган, осуществляющий пенсионное обеспечение, о зачислении сумм страховых пенсий на счета пенсионеров в срок не позднее дня, следующего за днем исполнения платежного поручения</w:t>
      </w:r>
      <w:r w:rsidR="00397F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9C1" w:rsidRDefault="00397FEC" w:rsidP="00CD29C1">
      <w:pPr>
        <w:pStyle w:val="20"/>
        <w:shd w:val="clear" w:color="auto" w:fill="auto"/>
        <w:spacing w:after="0" w:line="360" w:lineRule="auto"/>
        <w:ind w:firstLine="760"/>
        <w:jc w:val="both"/>
      </w:pPr>
      <w:r>
        <w:t>3</w:t>
      </w:r>
      <w:r w:rsidR="003F5454" w:rsidRPr="003F5454">
        <w:t xml:space="preserve">. Кредитная организация при осуществлении доставки страховых пенсий предоставляет </w:t>
      </w:r>
      <w:r w:rsidR="00CD29C1">
        <w:t xml:space="preserve">по запросу </w:t>
      </w:r>
      <w:r w:rsidR="003F5454" w:rsidRPr="003F5454">
        <w:t>орган</w:t>
      </w:r>
      <w:r w:rsidR="00CD29C1">
        <w:t>а</w:t>
      </w:r>
      <w:r w:rsidR="003F5454" w:rsidRPr="003F5454">
        <w:t>, осуществляюще</w:t>
      </w:r>
      <w:r w:rsidR="00CD29C1">
        <w:t>го</w:t>
      </w:r>
      <w:r w:rsidR="003F5454" w:rsidRPr="003F5454">
        <w:t xml:space="preserve"> пенсионное обеспечение, информацию</w:t>
      </w:r>
      <w:r w:rsidR="00CD29C1">
        <w:t>:</w:t>
      </w:r>
    </w:p>
    <w:p w:rsidR="004D337B" w:rsidRDefault="004D337B" w:rsidP="003F5454">
      <w:pPr>
        <w:pStyle w:val="20"/>
        <w:shd w:val="clear" w:color="auto" w:fill="auto"/>
        <w:spacing w:after="0" w:line="360" w:lineRule="auto"/>
        <w:ind w:firstLine="760"/>
        <w:jc w:val="both"/>
      </w:pPr>
      <w:r>
        <w:t>о выдаче денежных средств со счета пенсионера по доверенности, срок дейс</w:t>
      </w:r>
      <w:r w:rsidR="00CD29C1">
        <w:t>твия которой превышает один год;</w:t>
      </w:r>
    </w:p>
    <w:p w:rsidR="00CD29C1" w:rsidRDefault="00CD29C1" w:rsidP="003F5454">
      <w:pPr>
        <w:pStyle w:val="20"/>
        <w:shd w:val="clear" w:color="auto" w:fill="auto"/>
        <w:spacing w:after="0" w:line="360" w:lineRule="auto"/>
        <w:ind w:firstLine="760"/>
        <w:jc w:val="both"/>
      </w:pPr>
      <w:r>
        <w:t>об отсутствии более года распоряжений пенсионера о перечислении и выдаче соответствующих сумм со счета и проведении других операций по счету.</w:t>
      </w:r>
    </w:p>
    <w:p w:rsidR="003F5454" w:rsidRDefault="00397FEC" w:rsidP="003F5454">
      <w:pPr>
        <w:pStyle w:val="20"/>
        <w:spacing w:after="0" w:line="360" w:lineRule="auto"/>
        <w:ind w:firstLine="760"/>
        <w:jc w:val="both"/>
      </w:pPr>
      <w:r>
        <w:t>4</w:t>
      </w:r>
      <w:r w:rsidR="003F5454">
        <w:t>. Обмен информацией и документами между кредитной организацией и органом, осуществляющим пенсионное обеспечение, может осуществляться в электронной форме в формате, определенном Пенсионным фондом Российской Федерации. При отсутствии у кредитной организации возможности осуществлять обмен информацией и документами в электронной форме взаимодействие между кредитной организацией и органом, осуществляющим пенсионное обеспечение, осуществляется на бумажных носителях.</w:t>
      </w:r>
    </w:p>
    <w:p w:rsidR="003F5454" w:rsidRDefault="00397FEC" w:rsidP="003F5454">
      <w:pPr>
        <w:pStyle w:val="20"/>
        <w:shd w:val="clear" w:color="auto" w:fill="auto"/>
        <w:spacing w:after="0" w:line="360" w:lineRule="auto"/>
        <w:ind w:firstLine="760"/>
        <w:jc w:val="both"/>
      </w:pPr>
      <w:r>
        <w:t>5</w:t>
      </w:r>
      <w:r w:rsidR="003F5454">
        <w:t xml:space="preserve">. При обмене информацией и документами кредитная организация и орган, осуществляющий пенсионное обеспечение, принимают меры по </w:t>
      </w:r>
      <w:r w:rsidR="003F5454">
        <w:lastRenderedPageBreak/>
        <w:t>обеспечению конфиденциальности персональных данных получателей пенсий, передаваемых и получаемых при осуществлении доставки страховой пенсий, и их безопасности при обработке в соответствии с законодательством Российской Федерации.</w:t>
      </w:r>
    </w:p>
    <w:p w:rsidR="00397FEC" w:rsidRDefault="00397FEC" w:rsidP="00397FEC">
      <w:pPr>
        <w:pStyle w:val="20"/>
        <w:shd w:val="clear" w:color="auto" w:fill="auto"/>
        <w:spacing w:after="0" w:line="360" w:lineRule="auto"/>
        <w:ind w:firstLine="760"/>
        <w:jc w:val="both"/>
      </w:pPr>
      <w:r>
        <w:t xml:space="preserve">6. </w:t>
      </w:r>
      <w:r w:rsidRPr="00364906">
        <w:t>Взыскание сумм страховой пенсии, фиксированной выплаты к страховой пенсии (с учетом повышения фиксированной выплаты к страховой пенсии), право на которые у пенсионера отсутствует, излишне перечисленных на его счет в кредитной организации после его смерти, наступления иных обстоятельств, влекущих прекращение выплаты страховой пенсии в соответствии с частью 1 статьи 25 настоящего Федерального закона, производится в бесспорном порядке путем направления органом, осуществляющим пенсионное обеспечение, в электронной форме или на бумажном носителе в кредитную организацию, в которой открыт счет пенсионера, инкассового поручения в целях перечисления вышеуказанных сумм в бюджет Пенсионного фонда Российской Федерации. Указанное инкассовое поручение исполняется кредитной организацией без взимания комиссионного вознаграждения при наличии денежных средств на счете пенсионера, а при недостаточности денежных средств на счете пенсионера для полного исполнения кредитная организация осуществляет его частичное исполнение в размере имеющегося на счете пенсионера остатка денежных средств.</w:t>
      </w:r>
      <w:r>
        <w:t>».</w:t>
      </w:r>
    </w:p>
    <w:p w:rsidR="00397FEC" w:rsidRDefault="00397FEC" w:rsidP="003F5454">
      <w:pPr>
        <w:pStyle w:val="20"/>
        <w:shd w:val="clear" w:color="auto" w:fill="auto"/>
        <w:spacing w:after="0" w:line="360" w:lineRule="auto"/>
        <w:jc w:val="both"/>
      </w:pPr>
    </w:p>
    <w:p w:rsidR="00A41E7E" w:rsidRDefault="00A41E7E" w:rsidP="00A41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41E7E" w:rsidRDefault="00A41E7E" w:rsidP="003F5454">
      <w:pPr>
        <w:pStyle w:val="20"/>
        <w:shd w:val="clear" w:color="auto" w:fill="auto"/>
        <w:spacing w:after="0" w:line="360" w:lineRule="auto"/>
        <w:jc w:val="both"/>
      </w:pPr>
    </w:p>
    <w:p w:rsidR="00A41E7E" w:rsidRPr="00E602D8" w:rsidRDefault="00A41E7E" w:rsidP="00A41E7E">
      <w:pPr>
        <w:pStyle w:val="20"/>
        <w:shd w:val="clear" w:color="auto" w:fill="auto"/>
        <w:spacing w:after="0" w:line="360" w:lineRule="auto"/>
        <w:ind w:firstLine="708"/>
        <w:jc w:val="both"/>
      </w:pPr>
      <w:r w:rsidRPr="00253869">
        <w:t xml:space="preserve">Внести в </w:t>
      </w:r>
      <w:r w:rsidR="007270C7">
        <w:t xml:space="preserve">статью 26 </w:t>
      </w:r>
      <w:r w:rsidRPr="00253869">
        <w:t>Федеральн</w:t>
      </w:r>
      <w:r w:rsidR="007270C7">
        <w:t>ого</w:t>
      </w:r>
      <w:r w:rsidRPr="00253869">
        <w:t xml:space="preserve"> закон</w:t>
      </w:r>
      <w:r w:rsidR="007270C7">
        <w:t>а</w:t>
      </w:r>
      <w:r w:rsidRPr="00253869">
        <w:t xml:space="preserve"> о</w:t>
      </w:r>
      <w:r>
        <w:t xml:space="preserve">т 02 декабря 1990 года № </w:t>
      </w:r>
      <w:r w:rsidRPr="00A41E7E">
        <w:t>395-1</w:t>
      </w:r>
      <w:r w:rsidR="007270C7">
        <w:t xml:space="preserve"> </w:t>
      </w:r>
      <w:r w:rsidRPr="00253869">
        <w:t>«</w:t>
      </w:r>
      <w:r w:rsidRPr="00A41E7E">
        <w:t xml:space="preserve">О банках </w:t>
      </w:r>
      <w:r w:rsidRPr="0032528C">
        <w:t>и банковской деятельности» (Собрание законодательства Российской Федерации,</w:t>
      </w:r>
      <w:r w:rsidR="008C34C1" w:rsidRPr="0032528C">
        <w:t xml:space="preserve"> 1996, № 6, ст. 492; 2009, </w:t>
      </w:r>
      <w:r w:rsidR="00837DE3" w:rsidRPr="0032528C">
        <w:t xml:space="preserve">№ 23, ст. 2776; № 30, ст. 3739; </w:t>
      </w:r>
      <w:r w:rsidR="008C34C1" w:rsidRPr="0032528C">
        <w:t xml:space="preserve">2010, </w:t>
      </w:r>
      <w:r w:rsidR="00960F3F" w:rsidRPr="0032528C">
        <w:t>№ 31, ст. 4193;</w:t>
      </w:r>
      <w:r w:rsidR="00770A14" w:rsidRPr="0032528C">
        <w:t xml:space="preserve"> № 47, ст. 6028; 2011, </w:t>
      </w:r>
      <w:r w:rsidR="00837DE3" w:rsidRPr="0032528C">
        <w:t xml:space="preserve">№ 27, ст. 3873; </w:t>
      </w:r>
      <w:r w:rsidR="00770A14" w:rsidRPr="0032528C">
        <w:t xml:space="preserve">№ 48, ст. 6730; № 50, ст. 7351; 2012, № 27, ст. 3588, № 50 (часть 4), ст. 6954; </w:t>
      </w:r>
      <w:r w:rsidR="00EF23AC" w:rsidRPr="0032528C">
        <w:t xml:space="preserve">№ 53 (ч. 1), ст. 7605; 2013, № 11, ст. 1076; № 19, ст. 2329; № 26, ст. 3207; № 30 (Часть I), ст. 4084; </w:t>
      </w:r>
      <w:r w:rsidR="00EF23AC" w:rsidRPr="0032528C">
        <w:lastRenderedPageBreak/>
        <w:t xml:space="preserve">№ 27, ст. 3438; </w:t>
      </w:r>
      <w:r w:rsidR="0045097A" w:rsidRPr="0032528C">
        <w:t xml:space="preserve">№ 51, ст. 6699; 2014, № 26 (часть I), ст. 3395; № 52 (часть I), ст. 7543; 2015, № 27, ст. 3950; </w:t>
      </w:r>
      <w:r w:rsidR="00AB7F29" w:rsidRPr="0032528C">
        <w:t xml:space="preserve">№ 29 (часть I), ст. 4357; 2017, № 18, ст. 2661; </w:t>
      </w:r>
      <w:r w:rsidR="00C70B60" w:rsidRPr="0032528C">
        <w:t xml:space="preserve">2018, </w:t>
      </w:r>
      <w:r w:rsidR="00837DE3" w:rsidRPr="0032528C">
        <w:t xml:space="preserve">№ 24, ст. 3400; № 27, ст. 3950; </w:t>
      </w:r>
      <w:r w:rsidR="00F21A62" w:rsidRPr="0032528C">
        <w:t xml:space="preserve">№ 31, ст. 4852; № 32 (часть I), ст. 5100; </w:t>
      </w:r>
      <w:r w:rsidR="00837DE3" w:rsidRPr="0032528C">
        <w:t xml:space="preserve">№ 32 (Часть II), ст. 5115; </w:t>
      </w:r>
      <w:r w:rsidR="00E602D8" w:rsidRPr="0032528C">
        <w:t xml:space="preserve">2019, </w:t>
      </w:r>
      <w:r w:rsidR="00837DE3" w:rsidRPr="0032528C">
        <w:t xml:space="preserve">№ 6, ст. 463; </w:t>
      </w:r>
      <w:r w:rsidR="00E602D8" w:rsidRPr="0032528C">
        <w:t xml:space="preserve">(часть V), № 49, ст. 6953; </w:t>
      </w:r>
      <w:r w:rsidR="0032528C" w:rsidRPr="0032528C">
        <w:t>№ 52 (часть I), ст. 7787</w:t>
      </w:r>
      <w:r w:rsidRPr="0032528C">
        <w:t>) следующие</w:t>
      </w:r>
      <w:r w:rsidRPr="00E602D8">
        <w:t xml:space="preserve"> изменения:</w:t>
      </w:r>
    </w:p>
    <w:p w:rsidR="00A41E7E" w:rsidRPr="00253869" w:rsidRDefault="008E785A" w:rsidP="00A41E7E">
      <w:pPr>
        <w:pStyle w:val="20"/>
        <w:shd w:val="clear" w:color="auto" w:fill="auto"/>
        <w:tabs>
          <w:tab w:val="left" w:pos="1141"/>
        </w:tabs>
        <w:spacing w:after="0" w:line="360" w:lineRule="auto"/>
        <w:ind w:firstLine="760"/>
        <w:jc w:val="both"/>
      </w:pPr>
      <w:r>
        <w:t xml:space="preserve">1) </w:t>
      </w:r>
      <w:r w:rsidR="00A41E7E" w:rsidRPr="00253869">
        <w:t xml:space="preserve">дополнить </w:t>
      </w:r>
      <w:r w:rsidR="0043353E">
        <w:t>частями</w:t>
      </w:r>
      <w:r w:rsidR="00A41E7E" w:rsidRPr="00253869">
        <w:t xml:space="preserve"> </w:t>
      </w:r>
      <w:r w:rsidR="0043353E">
        <w:t xml:space="preserve">сорок девятой - пятидесятой </w:t>
      </w:r>
      <w:r w:rsidR="00A41E7E" w:rsidRPr="00253869">
        <w:t>следующего содержания:</w:t>
      </w:r>
    </w:p>
    <w:p w:rsidR="0043353E" w:rsidRDefault="00A41E7E" w:rsidP="00A41E7E">
      <w:pPr>
        <w:pStyle w:val="20"/>
        <w:shd w:val="clear" w:color="auto" w:fill="auto"/>
        <w:spacing w:after="0" w:line="360" w:lineRule="auto"/>
        <w:ind w:firstLine="760"/>
        <w:jc w:val="both"/>
      </w:pPr>
      <w:r w:rsidRPr="00253869">
        <w:t>«</w:t>
      </w:r>
      <w:r w:rsidR="008E785A" w:rsidRPr="008E785A">
        <w:t>Информация</w:t>
      </w:r>
      <w:r w:rsidR="00397FEC">
        <w:t xml:space="preserve"> об операциях по счетам получателей пенсий </w:t>
      </w:r>
      <w:r w:rsidR="008E785A" w:rsidRPr="008E785A">
        <w:t xml:space="preserve">представляется кредитными организациями в </w:t>
      </w:r>
      <w:r w:rsidR="00CB1361">
        <w:t>органы, осуществляющие пенсионное обеспечение,</w:t>
      </w:r>
      <w:r w:rsidR="008E785A" w:rsidRPr="008E785A">
        <w:t xml:space="preserve"> в случаях, порядке и объеме, которые пре</w:t>
      </w:r>
      <w:r w:rsidR="0043353E">
        <w:t>дусмотрены Федеральным законом «</w:t>
      </w:r>
      <w:r w:rsidR="0043353E" w:rsidRPr="0043353E">
        <w:t>О страховых пенсиях</w:t>
      </w:r>
      <w:r w:rsidR="008E785A">
        <w:t>»</w:t>
      </w:r>
      <w:r w:rsidR="0043353E">
        <w:t>.</w:t>
      </w:r>
    </w:p>
    <w:p w:rsidR="00A41E7E" w:rsidRPr="00253869" w:rsidRDefault="00CB1361" w:rsidP="00A41E7E">
      <w:pPr>
        <w:pStyle w:val="20"/>
        <w:shd w:val="clear" w:color="auto" w:fill="auto"/>
        <w:spacing w:after="0" w:line="360" w:lineRule="auto"/>
        <w:ind w:firstLine="760"/>
        <w:jc w:val="both"/>
      </w:pPr>
      <w:r>
        <w:t>Органы, осуществляющие пенсионное обеспечение,</w:t>
      </w:r>
      <w:r w:rsidR="00EE1F18">
        <w:t xml:space="preserve"> </w:t>
      </w:r>
      <w:r w:rsidR="005B6AD5">
        <w:t xml:space="preserve">и </w:t>
      </w:r>
      <w:r>
        <w:t>их</w:t>
      </w:r>
      <w:r w:rsidR="005B6AD5">
        <w:t xml:space="preserve"> должностные лица </w:t>
      </w:r>
      <w:r w:rsidR="00EE1F18">
        <w:t xml:space="preserve">не вправе </w:t>
      </w:r>
      <w:r w:rsidR="005B6AD5">
        <w:t xml:space="preserve">разглашать сведения, которые содержат банковскую тайну, полученные ими от кредитных организаций. </w:t>
      </w:r>
      <w:r w:rsidR="0043353E" w:rsidRPr="0043353E">
        <w:t xml:space="preserve">За разглашение банковской тайны </w:t>
      </w:r>
      <w:r>
        <w:t>органы, осуществляющие пенсионное обеспечение, и их должностные лица</w:t>
      </w:r>
      <w:r w:rsidR="0043353E" w:rsidRPr="0043353E">
        <w:t xml:space="preserve"> несут ответственность, включая возмещение нанесенного ущерба, в порядке, установленном федеральным законом.</w:t>
      </w:r>
      <w:r w:rsidR="0043353E">
        <w:t>»</w:t>
      </w:r>
      <w:r w:rsidR="008E785A">
        <w:t>.</w:t>
      </w:r>
    </w:p>
    <w:p w:rsidR="00A41E7E" w:rsidRDefault="00A41E7E" w:rsidP="003F5454">
      <w:pPr>
        <w:pStyle w:val="20"/>
        <w:shd w:val="clear" w:color="auto" w:fill="auto"/>
        <w:spacing w:after="0" w:line="360" w:lineRule="auto"/>
        <w:jc w:val="both"/>
      </w:pPr>
    </w:p>
    <w:p w:rsidR="003F5454" w:rsidRDefault="003F5454" w:rsidP="003F5454">
      <w:pPr>
        <w:pStyle w:val="20"/>
        <w:shd w:val="clear" w:color="auto" w:fill="auto"/>
        <w:spacing w:after="0" w:line="360" w:lineRule="auto"/>
        <w:jc w:val="both"/>
      </w:pPr>
    </w:p>
    <w:p w:rsidR="003F5454" w:rsidRPr="00253869" w:rsidRDefault="003F5454" w:rsidP="003F5454">
      <w:pPr>
        <w:pStyle w:val="20"/>
        <w:shd w:val="clear" w:color="auto" w:fill="auto"/>
        <w:spacing w:after="0" w:line="360" w:lineRule="auto"/>
        <w:ind w:firstLine="760"/>
        <w:jc w:val="both"/>
      </w:pPr>
      <w:r w:rsidRPr="00253869">
        <w:t>Президент</w:t>
      </w:r>
    </w:p>
    <w:p w:rsidR="003F5454" w:rsidRPr="00253869" w:rsidRDefault="003F5454" w:rsidP="003F54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86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70C87" w:rsidRDefault="00F70C87"/>
    <w:sectPr w:rsidR="00F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5C2"/>
    <w:multiLevelType w:val="multilevel"/>
    <w:tmpl w:val="9356C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F5C15"/>
    <w:multiLevelType w:val="multilevel"/>
    <w:tmpl w:val="9356C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54"/>
    <w:rsid w:val="003178B7"/>
    <w:rsid w:val="0032528C"/>
    <w:rsid w:val="00397FEC"/>
    <w:rsid w:val="003F5454"/>
    <w:rsid w:val="0043353E"/>
    <w:rsid w:val="0045097A"/>
    <w:rsid w:val="004B45AF"/>
    <w:rsid w:val="004D337B"/>
    <w:rsid w:val="004F55AF"/>
    <w:rsid w:val="0054742D"/>
    <w:rsid w:val="005B6AD5"/>
    <w:rsid w:val="006A05F1"/>
    <w:rsid w:val="007270C7"/>
    <w:rsid w:val="00770A14"/>
    <w:rsid w:val="00793FB4"/>
    <w:rsid w:val="00837DE3"/>
    <w:rsid w:val="008C34C1"/>
    <w:rsid w:val="008E785A"/>
    <w:rsid w:val="00960F3F"/>
    <w:rsid w:val="00A41E7E"/>
    <w:rsid w:val="00AB45F1"/>
    <w:rsid w:val="00AB7F29"/>
    <w:rsid w:val="00AF535C"/>
    <w:rsid w:val="00C36937"/>
    <w:rsid w:val="00C70B60"/>
    <w:rsid w:val="00CB1361"/>
    <w:rsid w:val="00CD29C1"/>
    <w:rsid w:val="00E602D8"/>
    <w:rsid w:val="00E9767D"/>
    <w:rsid w:val="00EE1F18"/>
    <w:rsid w:val="00EF23AC"/>
    <w:rsid w:val="00F0376C"/>
    <w:rsid w:val="00F07CB5"/>
    <w:rsid w:val="00F21A62"/>
    <w:rsid w:val="00F70C87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5526-298A-49F0-B937-763CF8BE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54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F54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454"/>
    <w:pPr>
      <w:widowControl w:val="0"/>
      <w:shd w:val="clear" w:color="auto" w:fill="FFFFFF"/>
      <w:spacing w:after="900" w:line="32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F5454"/>
    <w:pPr>
      <w:widowControl w:val="0"/>
      <w:shd w:val="clear" w:color="auto" w:fill="FFFFFF"/>
      <w:spacing w:before="2640"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 Сабина Шахмаровна</dc:creator>
  <cp:keywords/>
  <dc:description/>
  <cp:lastModifiedBy>Гасанова Сабина Шахмаровна</cp:lastModifiedBy>
  <cp:revision>3</cp:revision>
  <dcterms:created xsi:type="dcterms:W3CDTF">2021-03-12T06:16:00Z</dcterms:created>
  <dcterms:modified xsi:type="dcterms:W3CDTF">2021-03-12T09:36:00Z</dcterms:modified>
</cp:coreProperties>
</file>